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0"/>
        <w:gridCol w:w="2046"/>
        <w:gridCol w:w="382"/>
        <w:gridCol w:w="797"/>
        <w:gridCol w:w="1322"/>
        <w:gridCol w:w="660"/>
        <w:gridCol w:w="1417"/>
        <w:gridCol w:w="255"/>
        <w:gridCol w:w="701"/>
        <w:gridCol w:w="902"/>
      </w:tblGrid>
      <w:tr w:rsidR="00B16986" w:rsidRPr="00114841" w:rsidTr="00CE1070">
        <w:tc>
          <w:tcPr>
            <w:tcW w:w="4067" w:type="dxa"/>
            <w:gridSpan w:val="4"/>
            <w:shd w:val="clear" w:color="auto" w:fill="auto"/>
          </w:tcPr>
          <w:p w:rsidR="00B16986" w:rsidRPr="00F6580D" w:rsidRDefault="00B16986" w:rsidP="00CE1070">
            <w:pPr>
              <w:widowControl w:val="0"/>
              <w:jc w:val="center"/>
              <w:rPr>
                <w:lang w:val="vi-VN"/>
              </w:rPr>
            </w:pPr>
            <w:r>
              <w:br w:type="page"/>
            </w:r>
            <w:r w:rsidRPr="00F6580D">
              <w:rPr>
                <w:lang w:val="vi-VN"/>
              </w:rPr>
              <w:t xml:space="preserve">BỘ GIÁO DỤC VÀ ĐÀO TẠO </w:t>
            </w:r>
          </w:p>
          <w:p w:rsidR="00B16986" w:rsidRPr="00F6580D" w:rsidRDefault="00B16986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B16986" w:rsidRPr="00F6580D" w:rsidRDefault="00B16986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03" w:type="dxa"/>
            <w:gridSpan w:val="6"/>
            <w:shd w:val="clear" w:color="auto" w:fill="auto"/>
          </w:tcPr>
          <w:p w:rsidR="00B16986" w:rsidRPr="00114841" w:rsidRDefault="00B16986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B16986" w:rsidRPr="00F6580D" w:rsidTr="00CE1070">
        <w:tc>
          <w:tcPr>
            <w:tcW w:w="9570" w:type="dxa"/>
            <w:gridSpan w:val="10"/>
            <w:shd w:val="clear" w:color="auto" w:fill="auto"/>
          </w:tcPr>
          <w:p w:rsidR="00B16986" w:rsidRPr="00114841" w:rsidRDefault="00B16986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B16986" w:rsidRPr="00F6580D" w:rsidRDefault="00B16986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B16986" w:rsidRPr="00F6580D" w:rsidTr="00CE1070">
        <w:tc>
          <w:tcPr>
            <w:tcW w:w="9570" w:type="dxa"/>
            <w:gridSpan w:val="10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BC733E" w:rsidRDefault="00B16986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BC733E">
              <w:rPr>
                <w:b/>
                <w:color w:val="000000"/>
              </w:rPr>
              <w:t>KỸ THUẬT HÀN TIÊN TIẾN</w:t>
            </w:r>
          </w:p>
          <w:p w:rsidR="00B16986" w:rsidRPr="00054AD2" w:rsidRDefault="00B16986" w:rsidP="00CE1070">
            <w:pPr>
              <w:widowControl w:val="0"/>
              <w:spacing w:before="120"/>
              <w:ind w:firstLine="18"/>
              <w:rPr>
                <w:b/>
                <w:i/>
                <w:noProof/>
              </w:rPr>
            </w:pPr>
            <w:r w:rsidRPr="00054AD2">
              <w:rPr>
                <w:b/>
                <w:i/>
                <w:color w:val="000000"/>
              </w:rPr>
              <w:t xml:space="preserve">Advanced </w:t>
            </w:r>
            <w:r>
              <w:rPr>
                <w:b/>
                <w:i/>
                <w:color w:val="000000"/>
              </w:rPr>
              <w:t>W</w:t>
            </w:r>
            <w:r w:rsidRPr="00054AD2">
              <w:rPr>
                <w:b/>
                <w:i/>
                <w:color w:val="000000"/>
              </w:rPr>
              <w:t xml:space="preserve">elding </w:t>
            </w:r>
            <w:r>
              <w:rPr>
                <w:b/>
                <w:i/>
                <w:color w:val="000000"/>
              </w:rPr>
              <w:t>E</w:t>
            </w:r>
            <w:r w:rsidRPr="00054AD2">
              <w:rPr>
                <w:b/>
                <w:i/>
                <w:color w:val="000000"/>
              </w:rPr>
              <w:t>ngineering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C47DE6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ENM504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4C6DE2" w:rsidRDefault="00B1698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 (1,5-0,5)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4C6DE2" w:rsidRDefault="00B1698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Tự chọn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C47DE6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2, 3, 4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C47DE6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Không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C47DE6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Giảng viên, Tiến sĩ</w:t>
            </w:r>
            <w:r w:rsidRPr="00C47DE6">
              <w:rPr>
                <w:noProof/>
              </w:rPr>
              <w:t xml:space="preserve"> Huỳnh Văn Vũ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</w:p>
        </w:tc>
        <w:tc>
          <w:tcPr>
            <w:tcW w:w="6328" w:type="dxa"/>
            <w:gridSpan w:val="7"/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B16986" w:rsidRPr="00F6580D" w:rsidTr="00CE1070">
        <w:tc>
          <w:tcPr>
            <w:tcW w:w="9570" w:type="dxa"/>
            <w:gridSpan w:val="10"/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F928C7" w:rsidRDefault="00B16986" w:rsidP="00CE1070">
            <w:pPr>
              <w:widowControl w:val="0"/>
              <w:spacing w:before="120"/>
              <w:jc w:val="both"/>
              <w:rPr>
                <w:color w:val="000000"/>
              </w:rPr>
            </w:pPr>
            <w:r w:rsidRPr="00BC733E">
              <w:rPr>
                <w:color w:val="000000"/>
                <w:lang w:val="vi-VN"/>
              </w:rPr>
              <w:t>Học phần sẽ cung cấp cho học viên các</w:t>
            </w:r>
            <w:r>
              <w:rPr>
                <w:color w:val="000000"/>
                <w:lang w:val="vi-VN"/>
              </w:rPr>
              <w:t xml:space="preserve"> kỹ thuật hàn tiên tiến hiện có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gồm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giới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thiệu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chảy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chảy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16986" w:rsidRPr="00E30765" w:rsidTr="00CE1070">
        <w:tc>
          <w:tcPr>
            <w:tcW w:w="9570" w:type="dxa"/>
            <w:gridSpan w:val="10"/>
            <w:shd w:val="clear" w:color="auto" w:fill="auto"/>
          </w:tcPr>
          <w:p w:rsidR="00B16986" w:rsidRPr="00BB7D03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BB7D03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EB3D78" w:rsidRDefault="00B16986" w:rsidP="00CE1070">
            <w:pPr>
              <w:widowControl w:val="0"/>
              <w:spacing w:before="120"/>
              <w:jc w:val="both"/>
            </w:pPr>
            <w:proofErr w:type="spellStart"/>
            <w:r>
              <w:t>Nhằm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hàn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,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hàn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,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lĩnh</w:t>
            </w:r>
            <w:proofErr w:type="spellEnd"/>
            <w:r>
              <w:t xml:space="preserve"> </w:t>
            </w:r>
            <w:proofErr w:type="spellStart"/>
            <w:r>
              <w:t>vực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 xml:space="preserve">, </w:t>
            </w:r>
            <w:proofErr w:type="spellStart"/>
            <w:r>
              <w:t>tàu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>.</w:t>
            </w:r>
          </w:p>
        </w:tc>
      </w:tr>
      <w:tr w:rsidR="00B16986" w:rsidRPr="00E30765" w:rsidTr="00CE1070">
        <w:tc>
          <w:tcPr>
            <w:tcW w:w="9570" w:type="dxa"/>
            <w:gridSpan w:val="10"/>
            <w:shd w:val="clear" w:color="auto" w:fill="auto"/>
          </w:tcPr>
          <w:p w:rsidR="00B16986" w:rsidRPr="00E30765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BB7D03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Biết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hàn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đang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sử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hiện</w:t>
            </w:r>
            <w:proofErr w:type="spellEnd"/>
            <w:r>
              <w:rPr>
                <w:bCs/>
              </w:rPr>
              <w:t xml:space="preserve"> nay (</w:t>
            </w:r>
            <w:proofErr w:type="spellStart"/>
            <w:r>
              <w:rPr>
                <w:bCs/>
              </w:rPr>
              <w:t>kiến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bản</w:t>
            </w:r>
            <w:proofErr w:type="spellEnd"/>
            <w:r>
              <w:rPr>
                <w:bCs/>
              </w:rPr>
              <w:t>)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053EDB" w:rsidRDefault="00B16986" w:rsidP="00CE1070">
            <w:pPr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Thiết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được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hàn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phù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hợp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với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vật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liệu</w:t>
            </w:r>
            <w:proofErr w:type="spellEnd"/>
            <w:r w:rsidRPr="00053EDB">
              <w:rPr>
                <w:bCs/>
              </w:rPr>
              <w:t xml:space="preserve">, </w:t>
            </w:r>
            <w:proofErr w:type="spellStart"/>
            <w:r w:rsidRPr="00053EDB">
              <w:rPr>
                <w:bCs/>
              </w:rPr>
              <w:t>thiết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bị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và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yêu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cầu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sản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phầm</w:t>
            </w:r>
            <w:proofErr w:type="spellEnd"/>
            <w:r w:rsidRPr="00053EDB">
              <w:rPr>
                <w:bCs/>
              </w:rPr>
              <w:t xml:space="preserve"> (</w:t>
            </w:r>
            <w:proofErr w:type="spellStart"/>
            <w:r w:rsidRPr="00053EDB">
              <w:rPr>
                <w:bCs/>
              </w:rPr>
              <w:t>kiến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thức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ứng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dụng</w:t>
            </w:r>
            <w:proofErr w:type="spellEnd"/>
            <w:r w:rsidRPr="00053EDB">
              <w:rPr>
                <w:bCs/>
              </w:rPr>
              <w:t>)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053EDB" w:rsidRDefault="00B16986" w:rsidP="00CE1070">
            <w:pPr>
              <w:widowControl w:val="0"/>
              <w:spacing w:before="6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Biết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chất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lượng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mối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hàn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 w:rsidRPr="00053EDB">
              <w:rPr>
                <w:bCs/>
              </w:rPr>
              <w:t>kiến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thức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ứng</w:t>
            </w:r>
            <w:proofErr w:type="spellEnd"/>
            <w:r w:rsidRPr="00053EDB">
              <w:rPr>
                <w:bCs/>
              </w:rPr>
              <w:t xml:space="preserve"> </w:t>
            </w:r>
            <w:proofErr w:type="spellStart"/>
            <w:r w:rsidRPr="00053EDB">
              <w:rPr>
                <w:bCs/>
              </w:rPr>
              <w:t>dụng</w:t>
            </w:r>
            <w:proofErr w:type="spellEnd"/>
            <w:r w:rsidRPr="00053EDB">
              <w:rPr>
                <w:bCs/>
              </w:rPr>
              <w:t>)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053EDB" w:rsidRDefault="00B16986" w:rsidP="00CE1070">
            <w:pPr>
              <w:widowControl w:val="0"/>
              <w:spacing w:before="60"/>
              <w:jc w:val="both"/>
              <w:rPr>
                <w:bCs/>
              </w:rPr>
            </w:pPr>
            <w:r>
              <w:rPr>
                <w:noProof/>
              </w:rPr>
              <w:t xml:space="preserve">Tính toán được ứng suất dư, biến dạng và độ bền mỏi của mối hàn </w:t>
            </w:r>
            <w:r w:rsidRPr="00053EDB">
              <w:rPr>
                <w:noProof/>
              </w:rPr>
              <w:t>(kiến thức nâng cao)</w:t>
            </w:r>
          </w:p>
        </w:tc>
      </w:tr>
      <w:tr w:rsidR="00B16986" w:rsidRPr="00F6580D" w:rsidTr="00CE1070">
        <w:tc>
          <w:tcPr>
            <w:tcW w:w="9570" w:type="dxa"/>
            <w:gridSpan w:val="10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jc w:val="both"/>
              <w:rPr>
                <w:bCs/>
              </w:rPr>
            </w:pPr>
          </w:p>
        </w:tc>
      </w:tr>
      <w:tr w:rsidR="00B16986" w:rsidRPr="00F6580D" w:rsidTr="00CE1070"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B16986" w:rsidRPr="00F6580D" w:rsidTr="00CE1070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5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 w:after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 w:after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B16986" w:rsidRPr="00F6580D" w:rsidTr="00CE1070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54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 w:after="60"/>
              <w:rPr>
                <w:b/>
                <w:noProof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 w:after="60"/>
              <w:jc w:val="both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t>1.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lastRenderedPageBreak/>
              <w:t>1.1.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1.2.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rPr>
                <w:b/>
                <w:color w:val="000000"/>
              </w:rPr>
            </w:pPr>
            <w:proofErr w:type="spellStart"/>
            <w:r w:rsidRPr="00BC733E">
              <w:rPr>
                <w:b/>
                <w:color w:val="000000"/>
              </w:rPr>
              <w:lastRenderedPageBreak/>
              <w:t>Giới</w:t>
            </w:r>
            <w:proofErr w:type="spellEnd"/>
            <w:r w:rsidRPr="00BC733E">
              <w:rPr>
                <w:b/>
                <w:color w:val="000000"/>
              </w:rPr>
              <w:t xml:space="preserve"> </w:t>
            </w:r>
            <w:proofErr w:type="spellStart"/>
            <w:r w:rsidRPr="00BC733E">
              <w:rPr>
                <w:b/>
                <w:color w:val="000000"/>
              </w:rPr>
              <w:t>thiệu</w:t>
            </w:r>
            <w:proofErr w:type="spellEnd"/>
            <w:r w:rsidRPr="00BC733E">
              <w:rPr>
                <w:b/>
                <w:color w:val="000000"/>
              </w:rPr>
              <w:t xml:space="preserve"> </w:t>
            </w:r>
            <w:proofErr w:type="spellStart"/>
            <w:r w:rsidRPr="00BC733E">
              <w:rPr>
                <w:b/>
                <w:color w:val="000000"/>
              </w:rPr>
              <w:t>chung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lastRenderedPageBreak/>
              <w:t>Các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phương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pháp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truyền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thống</w:t>
            </w:r>
            <w:proofErr w:type="spellEnd"/>
          </w:p>
          <w:p w:rsidR="00B16986" w:rsidRPr="008125E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tiên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tiến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và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các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xu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hướng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phát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triển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20BCF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0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lastRenderedPageBreak/>
              <w:t>2</w:t>
            </w:r>
            <w:r w:rsidRPr="00BC733E">
              <w:rPr>
                <w:bCs/>
                <w:iCs/>
                <w:noProof/>
                <w:color w:val="000000"/>
              </w:rPr>
              <w:t>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2.1.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2.2.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2.3.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2.4.</w:t>
            </w:r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r w:rsidRPr="00BC733E">
              <w:rPr>
                <w:color w:val="000000"/>
              </w:rPr>
              <w:t>2.5.</w:t>
            </w:r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r w:rsidRPr="00BC733E">
              <w:rPr>
                <w:color w:val="000000"/>
              </w:rPr>
              <w:t>2.6.</w:t>
            </w:r>
          </w:p>
          <w:p w:rsidR="00B16986" w:rsidRDefault="00B16986" w:rsidP="00CE1070">
            <w:pPr>
              <w:spacing w:before="60" w:after="60"/>
              <w:rPr>
                <w:color w:val="000000"/>
              </w:rPr>
            </w:pPr>
            <w:r w:rsidRPr="00BC733E">
              <w:rPr>
                <w:color w:val="000000"/>
              </w:rPr>
              <w:t>2.7.</w:t>
            </w:r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rPr>
                <w:b/>
                <w:color w:val="000000"/>
              </w:rPr>
            </w:pPr>
            <w:proofErr w:type="spellStart"/>
            <w:r w:rsidRPr="00BC733E">
              <w:rPr>
                <w:b/>
                <w:color w:val="000000"/>
              </w:rPr>
              <w:t>Hàn</w:t>
            </w:r>
            <w:proofErr w:type="spellEnd"/>
            <w:r w:rsidRPr="00BC733E">
              <w:rPr>
                <w:b/>
                <w:color w:val="000000"/>
              </w:rPr>
              <w:t xml:space="preserve"> </w:t>
            </w:r>
            <w:proofErr w:type="spellStart"/>
            <w:r w:rsidRPr="00BC733E">
              <w:rPr>
                <w:b/>
                <w:color w:val="000000"/>
              </w:rPr>
              <w:t>chảy</w:t>
            </w:r>
            <w:proofErr w:type="spellEnd"/>
            <w:r w:rsidRPr="00BC733E">
              <w:rPr>
                <w:b/>
                <w:color w:val="000000"/>
              </w:rPr>
              <w:t xml:space="preserve"> </w:t>
            </w:r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Phương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pháp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GTAW </w:t>
            </w:r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bằng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tia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năng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lượng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cao</w:t>
            </w:r>
            <w:proofErr w:type="spellEnd"/>
          </w:p>
          <w:p w:rsidR="00B16986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Kỹ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thuật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với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khe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hẹp</w:t>
            </w:r>
            <w:proofErr w:type="spellEnd"/>
            <w:r w:rsidRPr="00BC733E">
              <w:rPr>
                <w:color w:val="000000"/>
              </w:rPr>
              <w:t xml:space="preserve"> </w:t>
            </w:r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Dòng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nhiệt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trong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mối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Dòng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vật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liệu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tại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mối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vùng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hưởng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xuất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</w:t>
            </w:r>
            <w:proofErr w:type="spellEnd"/>
          </w:p>
          <w:p w:rsidR="00B16986" w:rsidRPr="00842BA0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Ứng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suất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dư</w:t>
            </w:r>
            <w:proofErr w:type="spellEnd"/>
            <w:r w:rsidRPr="00BC733E">
              <w:rPr>
                <w:color w:val="000000"/>
              </w:rPr>
              <w:t xml:space="preserve">, </w:t>
            </w:r>
            <w:proofErr w:type="spellStart"/>
            <w:r w:rsidRPr="00BC733E">
              <w:rPr>
                <w:color w:val="000000"/>
              </w:rPr>
              <w:t>biến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dạng</w:t>
            </w:r>
            <w:proofErr w:type="spellEnd"/>
            <w:r w:rsidRPr="00BC733E">
              <w:rPr>
                <w:color w:val="000000"/>
              </w:rPr>
              <w:t xml:space="preserve">, </w:t>
            </w:r>
            <w:proofErr w:type="spellStart"/>
            <w:r w:rsidRPr="00BC733E">
              <w:rPr>
                <w:color w:val="000000"/>
              </w:rPr>
              <w:t>và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độ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bền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mỏi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của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mối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hàn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2, 4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20BCF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  <w:lang w:val="vi-VN"/>
              </w:rPr>
            </w:pPr>
            <w:r>
              <w:rPr>
                <w:bCs/>
                <w:noProof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223DF2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5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t>3.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3.1.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3.2.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3.3.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3.4.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Hàn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không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chảy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Mô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tả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chung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áp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lực</w:t>
            </w:r>
            <w:proofErr w:type="spellEnd"/>
            <w:r w:rsidRPr="00BC733E">
              <w:rPr>
                <w:color w:val="000000"/>
              </w:rPr>
              <w:t xml:space="preserve"> </w:t>
            </w:r>
            <w:proofErr w:type="spellStart"/>
            <w:r w:rsidRPr="00BC733E">
              <w:rPr>
                <w:color w:val="000000"/>
              </w:rPr>
              <w:t>nguội</w:t>
            </w:r>
            <w:proofErr w:type="spellEnd"/>
            <w:r w:rsidRPr="00BC733E">
              <w:rPr>
                <w:color w:val="000000"/>
              </w:rPr>
              <w:t>/</w:t>
            </w:r>
            <w:proofErr w:type="spellStart"/>
            <w:r w:rsidRPr="00BC733E">
              <w:rPr>
                <w:color w:val="000000"/>
              </w:rPr>
              <w:t>nóng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Hàn</w:t>
            </w:r>
            <w:proofErr w:type="spellEnd"/>
            <w:r w:rsidRPr="00BC733E">
              <w:rPr>
                <w:color w:val="000000"/>
              </w:rPr>
              <w:t xml:space="preserve"> ma </w:t>
            </w:r>
            <w:proofErr w:type="spellStart"/>
            <w:r w:rsidRPr="00BC733E">
              <w:rPr>
                <w:color w:val="000000"/>
              </w:rPr>
              <w:t>sát</w:t>
            </w:r>
            <w:proofErr w:type="spellEnd"/>
          </w:p>
          <w:p w:rsidR="00B16986" w:rsidRPr="00250884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khuếch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tán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2, 4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763DC8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223DF2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5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t>4.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4.1.</w:t>
            </w:r>
          </w:p>
          <w:p w:rsidR="00B16986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4.2.</w:t>
            </w:r>
          </w:p>
          <w:p w:rsidR="00B16986" w:rsidRPr="00BC733E" w:rsidRDefault="00B16986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4.3.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spacing w:before="60" w:after="6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Kiểm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tra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chất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lượng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mối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hàn</w:t>
            </w:r>
            <w:proofErr w:type="spellEnd"/>
          </w:p>
          <w:p w:rsidR="00B16986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tiêu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chuẩn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lượng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</w:t>
            </w:r>
            <w:proofErr w:type="spellEnd"/>
          </w:p>
          <w:p w:rsidR="00B16986" w:rsidRPr="00BC733E" w:rsidRDefault="00B16986" w:rsidP="00CE1070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hủy</w:t>
            </w:r>
            <w:proofErr w:type="spellEnd"/>
          </w:p>
          <w:p w:rsidR="00B16986" w:rsidRPr="00BC733E" w:rsidRDefault="00B16986" w:rsidP="00CE1070">
            <w:pPr>
              <w:spacing w:before="60" w:after="60"/>
              <w:jc w:val="both"/>
              <w:rPr>
                <w:b/>
                <w:noProof/>
                <w:color w:val="000000"/>
              </w:rPr>
            </w:pP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hủy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color w:val="000000"/>
              </w:rPr>
              <w:t>1, 2, 3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20BCF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C733E" w:rsidRDefault="00B16986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</w:tr>
      <w:tr w:rsidR="00B16986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30" w:type="dxa"/>
            <w:gridSpan w:val="4"/>
            <w:shd w:val="clear" w:color="auto" w:fill="auto"/>
          </w:tcPr>
          <w:p w:rsidR="00B16986" w:rsidRPr="00842BA0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080" w:type="dxa"/>
            <w:gridSpan w:val="5"/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 w:after="6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054AD2" w:rsidRDefault="00B16986" w:rsidP="00CE1070">
            <w:pPr>
              <w:spacing w:before="60" w:after="60"/>
              <w:jc w:val="both"/>
              <w:rPr>
                <w:color w:val="000000"/>
              </w:rPr>
            </w:pPr>
            <w:r w:rsidRPr="00BC733E">
              <w:rPr>
                <w:color w:val="000000"/>
              </w:rPr>
              <w:t>John Norrish (1992</w:t>
            </w:r>
            <w:proofErr w:type="gramStart"/>
            <w:r w:rsidRPr="00BC733E">
              <w:rPr>
                <w:color w:val="000000"/>
              </w:rPr>
              <w:t>),</w:t>
            </w:r>
            <w:proofErr w:type="gramEnd"/>
            <w:r w:rsidRPr="00BC733E">
              <w:rPr>
                <w:color w:val="000000"/>
              </w:rPr>
              <w:t xml:space="preserve"> </w:t>
            </w:r>
            <w:r w:rsidRPr="00BC733E">
              <w:rPr>
                <w:i/>
                <w:color w:val="000000"/>
              </w:rPr>
              <w:t>Advanced welding process</w:t>
            </w:r>
            <w:r w:rsidRPr="00BC733E">
              <w:rPr>
                <w:color w:val="000000"/>
              </w:rPr>
              <w:t>, IOP Publishing Ltd., London.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EF7CF2" w:rsidRDefault="00B16986" w:rsidP="00CE1070">
            <w:pPr>
              <w:spacing w:before="60" w:after="60"/>
              <w:jc w:val="both"/>
              <w:rPr>
                <w:color w:val="000000"/>
              </w:rPr>
            </w:pPr>
            <w:r w:rsidRPr="00BC733E">
              <w:rPr>
                <w:color w:val="000000"/>
              </w:rPr>
              <w:t xml:space="preserve">Robert W. </w:t>
            </w:r>
            <w:proofErr w:type="spellStart"/>
            <w:r w:rsidRPr="00BC733E">
              <w:rPr>
                <w:color w:val="000000"/>
              </w:rPr>
              <w:t>Messler</w:t>
            </w:r>
            <w:proofErr w:type="spellEnd"/>
            <w:r w:rsidRPr="00BC733E">
              <w:rPr>
                <w:color w:val="000000"/>
              </w:rPr>
              <w:t xml:space="preserve">, Jr. (2004), </w:t>
            </w:r>
            <w:r w:rsidRPr="00BC733E">
              <w:rPr>
                <w:i/>
                <w:color w:val="000000"/>
              </w:rPr>
              <w:t>Joining of Materials and Structures</w:t>
            </w:r>
            <w:r w:rsidRPr="00BC733E">
              <w:rPr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C733E">
                  <w:rPr>
                    <w:color w:val="000000"/>
                  </w:rPr>
                  <w:t>Elsevier Butterworth–Heinemann</w:t>
                </w:r>
              </w:smartTag>
              <w:r w:rsidRPr="00BC733E">
                <w:rPr>
                  <w:color w:val="000000"/>
                </w:rPr>
                <w:t xml:space="preserve">, </w:t>
              </w:r>
              <w:smartTag w:uri="urn:schemas-microsoft-com:office:smarttags" w:element="country-region">
                <w:r w:rsidRPr="00BC733E">
                  <w:rPr>
                    <w:color w:val="000000"/>
                  </w:rPr>
                  <w:t>USA</w:t>
                </w:r>
              </w:smartTag>
            </w:smartTag>
            <w:r w:rsidRPr="00BC733E">
              <w:rPr>
                <w:color w:val="000000"/>
              </w:rPr>
              <w:t>.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A54B6D" w:rsidRDefault="00B16986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BC733E">
              <w:rPr>
                <w:color w:val="000000"/>
              </w:rPr>
              <w:t>Sindo</w:t>
            </w:r>
            <w:proofErr w:type="spellEnd"/>
            <w:r w:rsidRPr="00BC733E">
              <w:rPr>
                <w:color w:val="000000"/>
              </w:rPr>
              <w:t xml:space="preserve"> Kou (2003), </w:t>
            </w:r>
            <w:r w:rsidRPr="00BC733E">
              <w:rPr>
                <w:i/>
                <w:color w:val="000000"/>
              </w:rPr>
              <w:t>Welding metallurgy 2</w:t>
            </w:r>
            <w:r w:rsidRPr="00BC733E">
              <w:rPr>
                <w:i/>
                <w:color w:val="000000"/>
                <w:vertAlign w:val="superscript"/>
              </w:rPr>
              <w:t>nd</w:t>
            </w:r>
            <w:r w:rsidRPr="00BC733E">
              <w:rPr>
                <w:i/>
                <w:color w:val="000000"/>
              </w:rPr>
              <w:t xml:space="preserve"> edition</w:t>
            </w:r>
            <w:r w:rsidRPr="00BC733E">
              <w:rPr>
                <w:color w:val="000000"/>
              </w:rPr>
              <w:t xml:space="preserve">, John Wiley &amp; Sons, Inc., </w:t>
            </w:r>
            <w:smartTag w:uri="urn:schemas-microsoft-com:office:smarttags" w:element="place">
              <w:smartTag w:uri="urn:schemas-microsoft-com:office:smarttags" w:element="country-region">
                <w:r w:rsidRPr="00BC733E">
                  <w:rPr>
                    <w:color w:val="000000"/>
                  </w:rPr>
                  <w:t>Canada</w:t>
                </w:r>
              </w:smartTag>
            </w:smartTag>
            <w:r w:rsidRPr="00BC733E">
              <w:rPr>
                <w:color w:val="000000"/>
              </w:rPr>
              <w:t>.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Pr="003927A1" w:rsidRDefault="00B16986" w:rsidP="00CE1070">
            <w:pPr>
              <w:widowControl w:val="0"/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A54B6D" w:rsidRDefault="00B16986" w:rsidP="00CE1070">
            <w:pPr>
              <w:spacing w:before="60" w:after="60"/>
              <w:contextualSpacing/>
              <w:jc w:val="both"/>
              <w:rPr>
                <w:color w:val="000000"/>
              </w:rPr>
            </w:pPr>
            <w:r w:rsidRPr="00BC733E">
              <w:rPr>
                <w:color w:val="000000"/>
              </w:rPr>
              <w:t xml:space="preserve">John C. </w:t>
            </w:r>
            <w:proofErr w:type="spellStart"/>
            <w:r w:rsidRPr="00BC733E">
              <w:rPr>
                <w:color w:val="000000"/>
              </w:rPr>
              <w:t>Lippold</w:t>
            </w:r>
            <w:proofErr w:type="spellEnd"/>
            <w:r w:rsidRPr="00BC733E">
              <w:rPr>
                <w:color w:val="000000"/>
              </w:rPr>
              <w:t xml:space="preserve">, Damian J. </w:t>
            </w:r>
            <w:proofErr w:type="spellStart"/>
            <w:r w:rsidRPr="00BC733E">
              <w:rPr>
                <w:color w:val="000000"/>
              </w:rPr>
              <w:t>Kotecki</w:t>
            </w:r>
            <w:proofErr w:type="spellEnd"/>
            <w:r w:rsidRPr="00BC733E">
              <w:rPr>
                <w:color w:val="000000"/>
              </w:rPr>
              <w:t xml:space="preserve"> (2005), </w:t>
            </w:r>
            <w:r w:rsidRPr="00BC733E">
              <w:rPr>
                <w:i/>
                <w:color w:val="000000"/>
              </w:rPr>
              <w:t xml:space="preserve">Welding metallurgy and </w:t>
            </w:r>
            <w:proofErr w:type="spellStart"/>
            <w:r w:rsidRPr="00BC733E">
              <w:rPr>
                <w:i/>
                <w:color w:val="000000"/>
              </w:rPr>
              <w:t>weldability</w:t>
            </w:r>
            <w:proofErr w:type="spellEnd"/>
            <w:r w:rsidRPr="00BC733E">
              <w:rPr>
                <w:i/>
                <w:color w:val="000000"/>
              </w:rPr>
              <w:t xml:space="preserve"> of </w:t>
            </w:r>
            <w:proofErr w:type="spellStart"/>
            <w:r w:rsidRPr="00BC733E">
              <w:rPr>
                <w:i/>
                <w:color w:val="000000"/>
              </w:rPr>
              <w:t>stanless</w:t>
            </w:r>
            <w:proofErr w:type="spellEnd"/>
            <w:r w:rsidRPr="00BC733E">
              <w:rPr>
                <w:i/>
                <w:color w:val="000000"/>
              </w:rPr>
              <w:t xml:space="preserve"> steels</w:t>
            </w:r>
            <w:r w:rsidRPr="00BC733E">
              <w:rPr>
                <w:color w:val="000000"/>
              </w:rPr>
              <w:t xml:space="preserve">, John Wiley &amp; Sons, Inc., </w:t>
            </w:r>
            <w:smartTag w:uri="urn:schemas-microsoft-com:office:smarttags" w:element="place">
              <w:smartTag w:uri="urn:schemas-microsoft-com:office:smarttags" w:element="country-region">
                <w:r w:rsidRPr="00BC733E">
                  <w:rPr>
                    <w:color w:val="000000"/>
                  </w:rPr>
                  <w:t>Canada</w:t>
                </w:r>
              </w:smartTag>
            </w:smartTag>
            <w:r w:rsidRPr="00BC733E">
              <w:rPr>
                <w:color w:val="000000"/>
              </w:rPr>
              <w:t>.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Default="00B16986" w:rsidP="00CE1070">
            <w:pPr>
              <w:widowControl w:val="0"/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A54B6D" w:rsidRDefault="00B16986" w:rsidP="00CE1070">
            <w:pPr>
              <w:spacing w:before="60" w:after="60"/>
              <w:jc w:val="both"/>
              <w:rPr>
                <w:color w:val="000000"/>
              </w:rPr>
            </w:pPr>
            <w:r w:rsidRPr="00BC733E">
              <w:rPr>
                <w:color w:val="000000"/>
              </w:rPr>
              <w:t xml:space="preserve">John N. </w:t>
            </w:r>
            <w:proofErr w:type="spellStart"/>
            <w:r w:rsidRPr="00BC733E">
              <w:rPr>
                <w:color w:val="000000"/>
              </w:rPr>
              <w:t>Dupont</w:t>
            </w:r>
            <w:proofErr w:type="spellEnd"/>
            <w:r w:rsidRPr="00BC733E">
              <w:rPr>
                <w:color w:val="000000"/>
              </w:rPr>
              <w:t xml:space="preserve">, John C. </w:t>
            </w:r>
            <w:proofErr w:type="spellStart"/>
            <w:r w:rsidRPr="00BC733E">
              <w:rPr>
                <w:color w:val="000000"/>
              </w:rPr>
              <w:t>Lippold</w:t>
            </w:r>
            <w:proofErr w:type="spellEnd"/>
            <w:r w:rsidRPr="00BC733E">
              <w:rPr>
                <w:color w:val="000000"/>
              </w:rPr>
              <w:t xml:space="preserve">, Samuel D. Kiser (2009), </w:t>
            </w:r>
            <w:r w:rsidRPr="00BC733E">
              <w:rPr>
                <w:i/>
                <w:color w:val="000000"/>
              </w:rPr>
              <w:t xml:space="preserve">Welding metallurgy and </w:t>
            </w:r>
            <w:proofErr w:type="spellStart"/>
            <w:r w:rsidRPr="00BC733E">
              <w:rPr>
                <w:i/>
                <w:color w:val="000000"/>
              </w:rPr>
              <w:t>weldability</w:t>
            </w:r>
            <w:proofErr w:type="spellEnd"/>
            <w:r w:rsidRPr="00BC733E">
              <w:rPr>
                <w:i/>
                <w:color w:val="000000"/>
              </w:rPr>
              <w:t xml:space="preserve"> of nickel-base alloys</w:t>
            </w:r>
            <w:r w:rsidRPr="00BC733E">
              <w:rPr>
                <w:color w:val="000000"/>
              </w:rPr>
              <w:t xml:space="preserve">, John Wiley &amp; Sons, Inc., </w:t>
            </w:r>
            <w:smartTag w:uri="urn:schemas-microsoft-com:office:smarttags" w:element="place">
              <w:smartTag w:uri="urn:schemas-microsoft-com:office:smarttags" w:element="country-region">
                <w:r w:rsidRPr="00BC733E">
                  <w:rPr>
                    <w:color w:val="000000"/>
                  </w:rPr>
                  <w:t>Canada</w:t>
                </w:r>
              </w:smartTag>
            </w:smartTag>
            <w:r w:rsidRPr="00BC733E">
              <w:rPr>
                <w:color w:val="000000"/>
              </w:rPr>
              <w:t>.</w:t>
            </w:r>
          </w:p>
        </w:tc>
      </w:tr>
      <w:tr w:rsidR="00B16986" w:rsidRPr="00F6580D" w:rsidTr="00CE1070">
        <w:tc>
          <w:tcPr>
            <w:tcW w:w="760" w:type="dxa"/>
            <w:shd w:val="clear" w:color="auto" w:fill="auto"/>
          </w:tcPr>
          <w:p w:rsidR="00B16986" w:rsidRDefault="00B16986" w:rsidP="00CE1070">
            <w:pPr>
              <w:widowControl w:val="0"/>
              <w:spacing w:before="60" w:after="6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</w:tc>
        <w:tc>
          <w:tcPr>
            <w:tcW w:w="8810" w:type="dxa"/>
            <w:gridSpan w:val="9"/>
            <w:shd w:val="clear" w:color="auto" w:fill="auto"/>
          </w:tcPr>
          <w:p w:rsidR="00B16986" w:rsidRPr="00A54B6D" w:rsidRDefault="00B16986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BC733E">
              <w:rPr>
                <w:bCs/>
                <w:color w:val="000000"/>
              </w:rPr>
              <w:t>Ramnarayan</w:t>
            </w:r>
            <w:proofErr w:type="spellEnd"/>
            <w:r w:rsidRPr="00BC733E">
              <w:rPr>
                <w:bCs/>
                <w:color w:val="000000"/>
              </w:rPr>
              <w:t xml:space="preserve"> </w:t>
            </w:r>
            <w:proofErr w:type="spellStart"/>
            <w:r w:rsidRPr="00BC733E">
              <w:rPr>
                <w:bCs/>
                <w:color w:val="000000"/>
              </w:rPr>
              <w:t>Chattopadhyay</w:t>
            </w:r>
            <w:proofErr w:type="spellEnd"/>
            <w:r w:rsidRPr="00BC733E">
              <w:rPr>
                <w:bCs/>
                <w:color w:val="000000"/>
              </w:rPr>
              <w:t xml:space="preserve"> (2004), </w:t>
            </w:r>
            <w:r w:rsidRPr="00BC733E">
              <w:rPr>
                <w:bCs/>
                <w:i/>
                <w:color w:val="000000"/>
              </w:rPr>
              <w:t>Advanced thermally assisted surface engineering processes</w:t>
            </w:r>
            <w:r w:rsidRPr="00BC733E">
              <w:rPr>
                <w:bCs/>
                <w:color w:val="000000"/>
              </w:rPr>
              <w:t xml:space="preserve">, </w:t>
            </w:r>
            <w:proofErr w:type="spellStart"/>
            <w:r w:rsidRPr="00BC733E">
              <w:rPr>
                <w:color w:val="000000"/>
              </w:rPr>
              <w:t>Kluwer</w:t>
            </w:r>
            <w:proofErr w:type="spellEnd"/>
            <w:r w:rsidRPr="00BC733E">
              <w:rPr>
                <w:color w:val="000000"/>
              </w:rPr>
              <w:t xml:space="preserve"> Academic Publishers</w:t>
            </w:r>
          </w:p>
        </w:tc>
      </w:tr>
      <w:tr w:rsidR="00B16986" w:rsidRPr="00F6580D" w:rsidTr="00CE1070">
        <w:tc>
          <w:tcPr>
            <w:tcW w:w="9570" w:type="dxa"/>
            <w:gridSpan w:val="10"/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677907" w:rsidRDefault="00B1698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677907">
              <w:rPr>
                <w:b/>
                <w:bCs/>
                <w:noProof/>
              </w:rPr>
              <w:t>Trọng số (</w:t>
            </w:r>
            <w:r w:rsidRPr="00677907">
              <w:rPr>
                <w:b/>
                <w:noProof/>
              </w:rPr>
              <w:t>%)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Tham gia học tập tại lớp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A54B6D" w:rsidRDefault="00B16986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1, 2, 3, 4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2.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tiểu luận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2, 3, 4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B16986" w:rsidRPr="00F6580D" w:rsidTr="00CE1070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(vấn đáp)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653939" w:rsidRDefault="00B1698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1, 2, 3,4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Default="00B1698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B16986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B16986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B16986" w:rsidRPr="00F6580D" w:rsidTr="00CE1070"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lastRenderedPageBreak/>
              <w:t>Họ và tên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B16986" w:rsidRPr="00F6580D" w:rsidTr="00CE1070"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DD2E4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B16986" w:rsidRPr="00DD2E4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 w:rsidRPr="00DD2E4D">
              <w:rPr>
                <w:b/>
                <w:noProof/>
              </w:rPr>
              <w:t>Huỳnh Văn Vũ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DD2E4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B16986" w:rsidRDefault="00B16986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 xml:space="preserve">Giảng viên, </w:t>
            </w:r>
            <w:r w:rsidRPr="00DD2E4D">
              <w:rPr>
                <w:b/>
                <w:noProof/>
              </w:rPr>
              <w:t>Tiến sĩ</w:t>
            </w:r>
          </w:p>
          <w:p w:rsidR="00B16986" w:rsidRPr="00DD2E4D" w:rsidRDefault="00B1698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86" w:rsidRPr="00BD0727" w:rsidRDefault="00B1698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B16986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16986" w:rsidRPr="00F6580D" w:rsidRDefault="00B1698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05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02 / 2015</w:t>
            </w:r>
          </w:p>
        </w:tc>
      </w:tr>
    </w:tbl>
    <w:p w:rsidR="005E3202" w:rsidRPr="00B16986" w:rsidRDefault="005E3202">
      <w:pPr>
        <w:rPr>
          <w:lang w:val="vi-VN"/>
        </w:rPr>
      </w:pPr>
    </w:p>
    <w:sectPr w:rsidR="005E3202" w:rsidRPr="00B16986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B16986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986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6986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B16986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0</DocSecurity>
  <Lines>22</Lines>
  <Paragraphs>6</Paragraphs>
  <ScaleCrop>false</ScaleCrop>
  <Company>Hewlett-Packard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2015-05-04T07:50:00Z</dcterms:created>
  <dcterms:modified xsi:type="dcterms:W3CDTF">2015-05-04T07:51:00Z</dcterms:modified>
</cp:coreProperties>
</file>