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0"/>
        <w:gridCol w:w="2042"/>
        <w:gridCol w:w="380"/>
        <w:gridCol w:w="794"/>
        <w:gridCol w:w="1311"/>
        <w:gridCol w:w="418"/>
        <w:gridCol w:w="1650"/>
        <w:gridCol w:w="255"/>
        <w:gridCol w:w="701"/>
        <w:gridCol w:w="931"/>
      </w:tblGrid>
      <w:tr w:rsidR="007B01CA" w:rsidRPr="00EA66E9" w:rsidTr="00CE1070">
        <w:tc>
          <w:tcPr>
            <w:tcW w:w="4057" w:type="dxa"/>
            <w:gridSpan w:val="4"/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7B01CA" w:rsidRPr="00F6580D" w:rsidRDefault="007B01CA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7B01CA" w:rsidRPr="00F6580D" w:rsidRDefault="007B01CA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7B01CA" w:rsidRPr="00EA66E9" w:rsidRDefault="007B01CA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7B01CA" w:rsidRPr="00F6580D" w:rsidTr="00CE1070">
        <w:tc>
          <w:tcPr>
            <w:tcW w:w="9570" w:type="dxa"/>
            <w:gridSpan w:val="10"/>
            <w:shd w:val="clear" w:color="auto" w:fill="auto"/>
          </w:tcPr>
          <w:p w:rsidR="007B01CA" w:rsidRPr="00EA66E9" w:rsidRDefault="007B01CA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7B01CA" w:rsidRPr="00F6580D" w:rsidRDefault="007B01CA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7B01CA" w:rsidRPr="00F6580D" w:rsidTr="00CE1070">
        <w:tc>
          <w:tcPr>
            <w:tcW w:w="9570" w:type="dxa"/>
            <w:gridSpan w:val="10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Ô TÔ VÀ Ô NHIỄM MÔI TRƯỜNG</w:t>
            </w:r>
          </w:p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BC531D">
              <w:rPr>
                <w:b/>
                <w:i/>
                <w:color w:val="000000"/>
              </w:rPr>
              <w:t>Automobile and pollution of environment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546D04" w:rsidRDefault="007B01CA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546D04">
              <w:rPr>
                <w:noProof/>
              </w:rPr>
              <w:t>TE52</w:t>
            </w:r>
            <w:r>
              <w:rPr>
                <w:noProof/>
              </w:rPr>
              <w:t>7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4C6DE2" w:rsidRDefault="007B01CA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4C6DE2">
              <w:rPr>
                <w:noProof/>
              </w:rPr>
              <w:t>(</w:t>
            </w:r>
            <w:r>
              <w:rPr>
                <w:noProof/>
              </w:rPr>
              <w:t>1,5</w:t>
            </w:r>
            <w:r w:rsidRPr="004C6DE2">
              <w:rPr>
                <w:noProof/>
              </w:rPr>
              <w:t>-</w:t>
            </w:r>
            <w:r>
              <w:rPr>
                <w:noProof/>
              </w:rPr>
              <w:t>0,5</w:t>
            </w:r>
            <w:r w:rsidRPr="004C6DE2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4C6DE2" w:rsidRDefault="007B01CA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1F2FC3" w:rsidRDefault="007B01CA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1F2FC3">
              <w:rPr>
                <w:noProof/>
                <w:color w:val="000000"/>
              </w:rPr>
              <w:t>3,4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546D04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546D04">
              <w:rPr>
                <w:noProof/>
              </w:rPr>
              <w:t>Không.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546D04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546D04">
              <w:rPr>
                <w:noProof/>
              </w:rPr>
              <w:t>TS. Nguyễn Thanh Tuấn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ô tô</w:t>
            </w:r>
          </w:p>
        </w:tc>
      </w:tr>
      <w:tr w:rsidR="007B01CA" w:rsidRPr="00F6580D" w:rsidTr="00CE1070">
        <w:tc>
          <w:tcPr>
            <w:tcW w:w="9570" w:type="dxa"/>
            <w:gridSpan w:val="10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F6580D" w:rsidRDefault="007B01CA" w:rsidP="00CE1070">
            <w:pPr>
              <w:widowControl w:val="0"/>
              <w:jc w:val="both"/>
              <w:rPr>
                <w:i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cứu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gây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nhiễm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gồm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hại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yếu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thải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Biện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giảm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nhiễm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thải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Ngoài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còn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trí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lặp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đo</w:t>
            </w:r>
            <w:proofErr w:type="spellEnd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. </w:t>
            </w:r>
            <w:r w:rsidRPr="00BC531D">
              <w:rPr>
                <w:color w:val="000000"/>
              </w:rPr>
              <w:t xml:space="preserve">  </w:t>
            </w:r>
          </w:p>
        </w:tc>
      </w:tr>
      <w:tr w:rsidR="007B01CA" w:rsidRPr="00E30765" w:rsidTr="00CE1070">
        <w:tc>
          <w:tcPr>
            <w:tcW w:w="9570" w:type="dxa"/>
            <w:gridSpan w:val="10"/>
            <w:shd w:val="clear" w:color="auto" w:fill="auto"/>
          </w:tcPr>
          <w:p w:rsidR="007B01CA" w:rsidRPr="00BB7D03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B7D03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E21045" w:rsidRDefault="007B01CA" w:rsidP="00CE1070">
            <w:pPr>
              <w:spacing w:line="320" w:lineRule="exact"/>
              <w:jc w:val="both"/>
              <w:rPr>
                <w:spacing w:val="-2"/>
              </w:rPr>
            </w:pPr>
            <w:proofErr w:type="spellStart"/>
            <w:r w:rsidRPr="00E21045">
              <w:rPr>
                <w:spacing w:val="-2"/>
              </w:rPr>
              <w:t>Trang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bị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cho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người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học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những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kiến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thức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cơ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bản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về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tác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hại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của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các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chất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trong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khí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xả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động</w:t>
            </w:r>
            <w:proofErr w:type="spellEnd"/>
            <w:r w:rsidRPr="00E21045">
              <w:rPr>
                <w:spacing w:val="-2"/>
              </w:rPr>
              <w:t xml:space="preserve"> </w:t>
            </w:r>
            <w:proofErr w:type="spellStart"/>
            <w:r w:rsidRPr="00E21045">
              <w:rPr>
                <w:spacing w:val="-2"/>
              </w:rPr>
              <w:t>cơ</w:t>
            </w:r>
            <w:proofErr w:type="spellEnd"/>
            <w:r w:rsidRPr="00E21045">
              <w:rPr>
                <w:spacing w:val="-2"/>
              </w:rPr>
              <w:t xml:space="preserve"> ô </w:t>
            </w:r>
            <w:proofErr w:type="spellStart"/>
            <w:r w:rsidRPr="00E21045">
              <w:rPr>
                <w:spacing w:val="-2"/>
              </w:rPr>
              <w:t>tô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những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color w:val="000000"/>
              </w:rPr>
              <w:t>c</w:t>
            </w:r>
            <w:r w:rsidRPr="00E21045">
              <w:rPr>
                <w:color w:val="000000"/>
              </w:rPr>
              <w:t>ơ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chế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hình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thành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chất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độc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hại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và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các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yếu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tố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ảnh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hưởng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tới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nồng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độ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các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chất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này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trong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khí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thải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động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>.</w:t>
            </w:r>
            <w:r w:rsidRPr="00E2104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</w:t>
            </w:r>
            <w:r w:rsidRPr="00E21045">
              <w:rPr>
                <w:color w:val="000000"/>
              </w:rPr>
              <w:t>ừ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đó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học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viên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có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thể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căn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cứ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vào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nhiều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yếu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tố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để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phân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tích</w:t>
            </w:r>
            <w:proofErr w:type="spellEnd"/>
            <w:r w:rsidRPr="00E21045">
              <w:rPr>
                <w:color w:val="000000"/>
              </w:rPr>
              <w:t xml:space="preserve">, </w:t>
            </w:r>
            <w:proofErr w:type="spellStart"/>
            <w:r w:rsidRPr="00E21045">
              <w:rPr>
                <w:color w:val="000000"/>
              </w:rPr>
              <w:t>chọn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lọc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và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đưa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ra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các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giải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pháp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phù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hợp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trong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thiết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kế</w:t>
            </w:r>
            <w:proofErr w:type="spellEnd"/>
            <w:r w:rsidRPr="00E21045">
              <w:rPr>
                <w:color w:val="000000"/>
              </w:rPr>
              <w:t xml:space="preserve">, </w:t>
            </w:r>
            <w:proofErr w:type="spellStart"/>
            <w:r w:rsidRPr="00E21045">
              <w:rPr>
                <w:color w:val="000000"/>
              </w:rPr>
              <w:t>chế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tạo</w:t>
            </w:r>
            <w:proofErr w:type="spellEnd"/>
            <w:r w:rsidRPr="00E21045">
              <w:rPr>
                <w:color w:val="000000"/>
              </w:rPr>
              <w:t xml:space="preserve">, </w:t>
            </w:r>
            <w:proofErr w:type="spellStart"/>
            <w:r w:rsidRPr="00E21045">
              <w:rPr>
                <w:color w:val="000000"/>
              </w:rPr>
              <w:t>vận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hành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động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cơ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nhằm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mục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tiêu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giảm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thiểu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các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chất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độc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hại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ra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môi</w:t>
            </w:r>
            <w:proofErr w:type="spellEnd"/>
            <w:r w:rsidRPr="00E21045">
              <w:rPr>
                <w:color w:val="000000"/>
              </w:rPr>
              <w:t xml:space="preserve"> </w:t>
            </w:r>
            <w:proofErr w:type="spellStart"/>
            <w:r w:rsidRPr="00E21045">
              <w:rPr>
                <w:color w:val="000000"/>
              </w:rPr>
              <w:t>trường</w:t>
            </w:r>
            <w:proofErr w:type="spellEnd"/>
            <w:r w:rsidRPr="00E21045">
              <w:rPr>
                <w:color w:val="000000"/>
              </w:rPr>
              <w:t>.</w:t>
            </w:r>
          </w:p>
        </w:tc>
      </w:tr>
      <w:tr w:rsidR="007B01CA" w:rsidRPr="00E30765" w:rsidTr="00CE1070">
        <w:tc>
          <w:tcPr>
            <w:tcW w:w="9570" w:type="dxa"/>
            <w:gridSpan w:val="10"/>
            <w:shd w:val="clear" w:color="auto" w:fill="auto"/>
          </w:tcPr>
          <w:p w:rsidR="007B01CA" w:rsidRPr="00E30765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B7D03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9921E4" w:rsidRDefault="007B01CA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Hiểu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yếu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ảnh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hưởng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nồng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>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Đo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nồng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trong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của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qua </w:t>
            </w:r>
            <w:proofErr w:type="spellStart"/>
            <w:r>
              <w:rPr>
                <w:bCs/>
              </w:rPr>
              <w:t>quá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nghiệm</w:t>
            </w:r>
            <w:proofErr w:type="spellEnd"/>
            <w:r>
              <w:rPr>
                <w:bCs/>
              </w:rPr>
              <w:t>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tạo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cải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hoán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vận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một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hợp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nhằm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giảm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thiểu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gây</w:t>
            </w:r>
            <w:proofErr w:type="spellEnd"/>
            <w:r>
              <w:rPr>
                <w:bCs/>
              </w:rPr>
              <w:t xml:space="preserve"> ô </w:t>
            </w:r>
            <w:proofErr w:type="spellStart"/>
            <w:r>
              <w:rPr>
                <w:bCs/>
              </w:rPr>
              <w:t>nhiễm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xả</w:t>
            </w:r>
            <w:proofErr w:type="spellEnd"/>
            <w:r>
              <w:rPr>
                <w:bCs/>
              </w:rPr>
              <w:t>.</w:t>
            </w:r>
          </w:p>
          <w:p w:rsidR="007B01CA" w:rsidRPr="00F6580D" w:rsidRDefault="007B01CA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7B01CA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lastRenderedPageBreak/>
              <w:t>TT</w:t>
            </w:r>
          </w:p>
        </w:tc>
        <w:tc>
          <w:tcPr>
            <w:tcW w:w="51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7B01CA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51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AD3175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AD3175">
              <w:rPr>
                <w:b/>
                <w:noProof/>
              </w:rPr>
              <w:t>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C531D" w:rsidRDefault="007B01CA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Cơ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chế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hình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thành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chất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độc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hại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trong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khí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thải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của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động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cơ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đốt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trong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>.</w:t>
            </w:r>
          </w:p>
          <w:p w:rsidR="007B01CA" w:rsidRPr="009B28C3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Sự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xăng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diesel</w:t>
            </w:r>
            <w:r>
              <w:rPr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E23AA3" w:rsidRDefault="007B01CA" w:rsidP="00CE1070">
            <w:pPr>
              <w:widowControl w:val="0"/>
              <w:ind w:left="34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D2228C">
              <w:rPr>
                <w:b/>
                <w:noProof/>
              </w:rPr>
              <w:t>0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AD3175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</w:rPr>
            </w:pPr>
            <w:r w:rsidRPr="00AD3175">
              <w:rPr>
                <w:b/>
                <w:noProof/>
              </w:rPr>
              <w:t>2.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C531D" w:rsidRDefault="007B01CA" w:rsidP="00CE1070">
            <w:pPr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Các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yếu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tố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ảnh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hưởng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đến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nồng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chất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hại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trong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khí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thải</w:t>
            </w:r>
            <w:proofErr w:type="spellEnd"/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Ảnh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hưởng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điều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chỉnh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làm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việc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.  </w:t>
            </w:r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Ảnh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hưởng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</w:p>
          <w:p w:rsidR="007B01CA" w:rsidRPr="00F6580D" w:rsidRDefault="007B01CA" w:rsidP="00CE1070">
            <w:pPr>
              <w:widowControl w:val="0"/>
              <w:jc w:val="both"/>
              <w:rPr>
                <w:b/>
                <w:noProof/>
              </w:rPr>
            </w:pPr>
            <w:proofErr w:type="spellStart"/>
            <w:r w:rsidRPr="00BC531D">
              <w:rPr>
                <w:color w:val="000000"/>
              </w:rPr>
              <w:t>Ảnh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hưởng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liệu</w:t>
            </w:r>
            <w:proofErr w:type="spellEnd"/>
            <w:r w:rsidRPr="00BC531D">
              <w:rPr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E23AA3" w:rsidRDefault="007B01CA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D2228C">
              <w:rPr>
                <w:b/>
                <w:bCs/>
                <w:noProof/>
              </w:rPr>
              <w:t>0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AD3175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AD3175">
              <w:rPr>
                <w:b/>
                <w:bCs/>
                <w:iCs/>
                <w:noProof/>
              </w:rPr>
              <w:t>3.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7B01CA" w:rsidRPr="00F6580D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bCs/>
                <w:iCs/>
                <w:noProof/>
              </w:rPr>
              <w:t>3.3.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rPr>
                <w:b/>
                <w:noProof/>
              </w:rPr>
            </w:pPr>
            <w:r>
              <w:rPr>
                <w:b/>
                <w:noProof/>
              </w:rPr>
              <w:t>Một số thiết bị phân tích nồng độ khí xả và các chu trình thử nghiệm.</w:t>
            </w:r>
          </w:p>
          <w:p w:rsidR="007B01CA" w:rsidRDefault="007B01CA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Thiết bị phân tích nồng độ khí xả.</w:t>
            </w:r>
          </w:p>
          <w:p w:rsidR="007B01CA" w:rsidRDefault="007B01CA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Các chu trình thử nghiệm.</w:t>
            </w:r>
          </w:p>
          <w:p w:rsidR="007B01CA" w:rsidRPr="0017749B" w:rsidRDefault="007B01CA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Tiêu chuẩn khí thải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E23AA3" w:rsidRDefault="007B01CA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D2228C">
              <w:rPr>
                <w:b/>
                <w:bCs/>
                <w:noProof/>
              </w:rPr>
              <w:t>0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AD3175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AD3175">
              <w:rPr>
                <w:b/>
                <w:bCs/>
                <w:iCs/>
                <w:noProof/>
              </w:rPr>
              <w:t>4.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4.2.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4.3.</w:t>
            </w:r>
          </w:p>
          <w:p w:rsidR="007B01CA" w:rsidRPr="00F6580D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4.4.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C531D" w:rsidRDefault="007B01CA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Biện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pháp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giảm</w:t>
            </w:r>
            <w:proofErr w:type="spellEnd"/>
            <w:r w:rsidRPr="00BC531D">
              <w:rPr>
                <w:b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color w:val="000000"/>
              </w:rPr>
              <w:t>nhiễm</w:t>
            </w:r>
            <w:proofErr w:type="spellEnd"/>
            <w:r w:rsidRPr="00BC531D">
              <w:rPr>
                <w:b/>
                <w:color w:val="000000"/>
              </w:rPr>
              <w:t xml:space="preserve"> do </w:t>
            </w:r>
            <w:proofErr w:type="spellStart"/>
            <w:r w:rsidRPr="00BC531D">
              <w:rPr>
                <w:b/>
                <w:color w:val="000000"/>
              </w:rPr>
              <w:t>khí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thải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của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động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cơ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đốt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trong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chế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tạo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hành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  <w:r w:rsidRPr="00BC531D">
              <w:rPr>
                <w:color w:val="000000"/>
              </w:rPr>
              <w:t xml:space="preserve"> </w:t>
            </w:r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Xử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thải</w:t>
            </w:r>
            <w:proofErr w:type="spellEnd"/>
            <w:r>
              <w:rPr>
                <w:color w:val="000000"/>
              </w:rPr>
              <w:t>.</w:t>
            </w:r>
            <w:r w:rsidRPr="00BC531D">
              <w:rPr>
                <w:color w:val="000000"/>
              </w:rPr>
              <w:t xml:space="preserve"> </w:t>
            </w:r>
          </w:p>
          <w:p w:rsidR="007B01CA" w:rsidRPr="00BC531D" w:rsidRDefault="007B01CA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thế</w:t>
            </w:r>
            <w:proofErr w:type="spellEnd"/>
            <w:r>
              <w:rPr>
                <w:color w:val="000000"/>
              </w:rPr>
              <w:t>.</w:t>
            </w:r>
          </w:p>
          <w:p w:rsidR="007B01CA" w:rsidRPr="00F6580D" w:rsidRDefault="007B01CA" w:rsidP="00CE1070">
            <w:pPr>
              <w:widowControl w:val="0"/>
              <w:jc w:val="both"/>
              <w:rPr>
                <w:b/>
                <w:noProof/>
              </w:rPr>
            </w:pPr>
            <w:proofErr w:type="spellStart"/>
            <w:r w:rsidRPr="00BC531D">
              <w:rPr>
                <w:color w:val="000000"/>
              </w:rPr>
              <w:t>Chế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tạo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môi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trường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E23AA3" w:rsidRDefault="007B01CA" w:rsidP="00CE1070">
            <w:pPr>
              <w:widowControl w:val="0"/>
              <w:jc w:val="center"/>
              <w:rPr>
                <w:b/>
                <w:noProof/>
              </w:rPr>
            </w:pPr>
            <w:r w:rsidRPr="00E23AA3">
              <w:rPr>
                <w:b/>
                <w:noProof/>
              </w:rPr>
              <w:t>2,</w:t>
            </w:r>
            <w:r>
              <w:rPr>
                <w:b/>
                <w:noProof/>
              </w:rPr>
              <w:t xml:space="preserve"> </w:t>
            </w:r>
            <w:r w:rsidRPr="00E23AA3">
              <w:rPr>
                <w:b/>
                <w:noProof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D2228C">
              <w:rPr>
                <w:b/>
                <w:bCs/>
                <w:noProof/>
              </w:rPr>
              <w:t>0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AD3175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</w:rPr>
            </w:pPr>
            <w:r w:rsidRPr="00AD3175">
              <w:rPr>
                <w:b/>
                <w:bCs/>
                <w:iCs/>
                <w:noProof/>
              </w:rPr>
              <w:t>5.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5.1.</w:t>
            </w: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7B01CA" w:rsidRDefault="007B01CA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5.2.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hành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thực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nghiệm</w:t>
            </w:r>
            <w:proofErr w:type="spellEnd"/>
          </w:p>
          <w:p w:rsidR="007B01CA" w:rsidRDefault="007B01CA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Khảo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lắp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đặt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>.</w:t>
            </w:r>
          </w:p>
          <w:p w:rsidR="007B01CA" w:rsidRPr="00DD00D5" w:rsidRDefault="007B01CA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Ứng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đo</w:t>
            </w:r>
            <w:proofErr w:type="spellEnd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xưởng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E23AA3" w:rsidRDefault="007B01CA" w:rsidP="00CE1070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D2228C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14</w:t>
            </w:r>
          </w:p>
        </w:tc>
      </w:tr>
      <w:tr w:rsidR="007B01CA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790ABC" w:rsidRDefault="007B01CA" w:rsidP="00CE1070">
            <w:pPr>
              <w:spacing w:before="60"/>
              <w:jc w:val="both"/>
              <w:rPr>
                <w:color w:val="000000"/>
              </w:rPr>
            </w:pPr>
            <w:proofErr w:type="spellStart"/>
            <w:r w:rsidRPr="00BC531D">
              <w:rPr>
                <w:iCs/>
                <w:color w:val="000000"/>
              </w:rPr>
              <w:t>P</w:t>
            </w:r>
            <w:r w:rsidRPr="00BC531D">
              <w:rPr>
                <w:color w:val="000000"/>
              </w:rPr>
              <w:t>hạm</w:t>
            </w:r>
            <w:proofErr w:type="spellEnd"/>
            <w:r w:rsidRPr="00BC531D">
              <w:rPr>
                <w:color w:val="000000"/>
              </w:rPr>
              <w:t xml:space="preserve"> Minh </w:t>
            </w:r>
            <w:proofErr w:type="spellStart"/>
            <w:r w:rsidRPr="00BC531D">
              <w:rPr>
                <w:color w:val="000000"/>
              </w:rPr>
              <w:t>Tuấn</w:t>
            </w:r>
            <w:proofErr w:type="spellEnd"/>
            <w:r w:rsidRPr="00BC531D">
              <w:rPr>
                <w:color w:val="000000"/>
              </w:rPr>
              <w:t xml:space="preserve"> (2000), </w:t>
            </w:r>
            <w:proofErr w:type="spellStart"/>
            <w:r w:rsidRPr="00BC531D">
              <w:rPr>
                <w:i/>
                <w:color w:val="000000"/>
              </w:rPr>
              <w:t>Khí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thải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động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cơ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vấn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đề</w:t>
            </w:r>
            <w:proofErr w:type="spellEnd"/>
            <w:r w:rsidRPr="00BC531D">
              <w:rPr>
                <w:i/>
                <w:color w:val="000000"/>
              </w:rPr>
              <w:t xml:space="preserve"> ô </w:t>
            </w:r>
            <w:proofErr w:type="spellStart"/>
            <w:r w:rsidRPr="00BC531D">
              <w:rPr>
                <w:i/>
                <w:color w:val="000000"/>
              </w:rPr>
              <w:t>nhiễm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môi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Bách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Nội</w:t>
            </w:r>
            <w:proofErr w:type="spellEnd"/>
            <w:r w:rsidRPr="00BC531D">
              <w:rPr>
                <w:color w:val="000000"/>
              </w:rPr>
              <w:t>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BC531D">
              <w:rPr>
                <w:color w:val="000000"/>
              </w:rPr>
              <w:t>Bùi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Ga</w:t>
            </w:r>
            <w:proofErr w:type="spellEnd"/>
            <w:r w:rsidRPr="00BC531D">
              <w:rPr>
                <w:color w:val="000000"/>
              </w:rPr>
              <w:t xml:space="preserve"> (2007), </w:t>
            </w:r>
            <w:r w:rsidRPr="00BC531D">
              <w:rPr>
                <w:i/>
                <w:color w:val="000000"/>
              </w:rPr>
              <w:t xml:space="preserve">Ô </w:t>
            </w:r>
            <w:proofErr w:type="spellStart"/>
            <w:r w:rsidRPr="00BC531D">
              <w:rPr>
                <w:i/>
                <w:color w:val="000000"/>
              </w:rPr>
              <w:t>tô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ô </w:t>
            </w:r>
            <w:proofErr w:type="spellStart"/>
            <w:r w:rsidRPr="00BC531D">
              <w:rPr>
                <w:i/>
                <w:color w:val="000000"/>
              </w:rPr>
              <w:t>nhiễm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môi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Trường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Nẵng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BC531D">
              <w:rPr>
                <w:color w:val="000000"/>
              </w:rPr>
              <w:t>J</w:t>
            </w:r>
            <w:r w:rsidRPr="00BC531D">
              <w:rPr>
                <w:noProof/>
                <w:color w:val="000000"/>
              </w:rPr>
              <w:t xml:space="preserve">ohn B. Heywood (1988), </w:t>
            </w:r>
            <w:r w:rsidRPr="00BC531D">
              <w:rPr>
                <w:i/>
                <w:noProof/>
                <w:color w:val="000000"/>
              </w:rPr>
              <w:t>Intenal Combution Engine Fundametals</w:t>
            </w:r>
            <w:r w:rsidRPr="00BC531D">
              <w:rPr>
                <w:noProof/>
                <w:color w:val="000000"/>
              </w:rPr>
              <w:t xml:space="preserve">, McGraw </w:t>
            </w:r>
            <w:r>
              <w:rPr>
                <w:noProof/>
                <w:color w:val="000000"/>
              </w:rPr>
              <w:t>–</w:t>
            </w:r>
            <w:r w:rsidRPr="00BC531D">
              <w:rPr>
                <w:noProof/>
                <w:color w:val="000000"/>
              </w:rPr>
              <w:t xml:space="preserve"> Hill</w:t>
            </w:r>
            <w:r>
              <w:rPr>
                <w:noProof/>
                <w:color w:val="000000"/>
              </w:rPr>
              <w:t>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Pr="003927A1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Asif Faiz, Christopher S.Weaver, Michanel P.Walsh (1996), </w:t>
            </w:r>
            <w:r w:rsidRPr="00057667">
              <w:rPr>
                <w:i/>
                <w:noProof/>
              </w:rPr>
              <w:t>Air Pollution from Motors Vehicles</w:t>
            </w:r>
            <w:r>
              <w:rPr>
                <w:noProof/>
              </w:rPr>
              <w:t>, Manufactured in the United States of America.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Eran Sher (1998), </w:t>
            </w:r>
            <w:r w:rsidRPr="00057667">
              <w:rPr>
                <w:i/>
                <w:noProof/>
              </w:rPr>
              <w:t>Handbook of air pollution from internal combustion engines</w:t>
            </w:r>
            <w:r>
              <w:rPr>
                <w:noProof/>
              </w:rPr>
              <w:t>, Academic press limited, UK, ISBN: 0-12-639855-0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Gustav Sebor, Milan Pospisil, Zan Zakovec (2006), </w:t>
            </w:r>
            <w:r w:rsidRPr="00057667">
              <w:rPr>
                <w:i/>
                <w:noProof/>
              </w:rPr>
              <w:t>Techicko – ekonomicka analyza vhodnych alternativnich paliv v doprave</w:t>
            </w:r>
            <w:r>
              <w:rPr>
                <w:noProof/>
              </w:rPr>
              <w:t>, Vyskola chemicko – techologicka v praze, Praha cerven 2006.</w:t>
            </w:r>
          </w:p>
        </w:tc>
      </w:tr>
      <w:tr w:rsidR="007B01CA" w:rsidRPr="00F6580D" w:rsidTr="00CE1070">
        <w:tc>
          <w:tcPr>
            <w:tcW w:w="759" w:type="dxa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7)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N.Kruse, A. Frennet, J.M.Bastin (1997), </w:t>
            </w:r>
            <w:r w:rsidRPr="00057667">
              <w:rPr>
                <w:i/>
                <w:noProof/>
              </w:rPr>
              <w:t>Catalysis and automotive pollution controll IV</w:t>
            </w:r>
            <w:r>
              <w:rPr>
                <w:noProof/>
              </w:rPr>
              <w:t>, Proceedings of the fourth international Symposium, Brussels Begium.</w:t>
            </w:r>
          </w:p>
        </w:tc>
      </w:tr>
      <w:tr w:rsidR="007B01CA" w:rsidRPr="00F6580D" w:rsidTr="00CE1070">
        <w:tc>
          <w:tcPr>
            <w:tcW w:w="9570" w:type="dxa"/>
            <w:gridSpan w:val="10"/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lastRenderedPageBreak/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bCs/>
                <w:noProof/>
              </w:rPr>
            </w:pPr>
            <w:r w:rsidRPr="00F6580D"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</w:pPr>
            <w:r>
              <w:rPr>
                <w:noProof/>
              </w:rPr>
              <w:t>Kiểm tra giữa kỳ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1CA" w:rsidRPr="000A3B31" w:rsidRDefault="007B01CA" w:rsidP="00CE1070">
            <w:pPr>
              <w:jc w:val="center"/>
              <w:rPr>
                <w:b/>
                <w:bCs/>
                <w:noProof/>
              </w:rPr>
            </w:pPr>
            <w:r w:rsidRPr="000A3B31">
              <w:rPr>
                <w:noProof/>
              </w:rPr>
              <w:t>1,2,3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7B01CA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(viết/vấn đáp/…)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0A3B31" w:rsidRDefault="007B01CA" w:rsidP="00CE1070">
            <w:pPr>
              <w:widowControl w:val="0"/>
              <w:jc w:val="center"/>
              <w:rPr>
                <w:noProof/>
              </w:rPr>
            </w:pPr>
            <w:r w:rsidRPr="000A3B31">
              <w:rPr>
                <w:noProof/>
              </w:rPr>
              <w:t>1,2,3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7B01CA" w:rsidRPr="00F6580D" w:rsidTr="00CE1070">
        <w:tc>
          <w:tcPr>
            <w:tcW w:w="95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spacing w:before="120"/>
              <w:rPr>
                <w:b/>
                <w:noProof/>
              </w:rPr>
            </w:pPr>
          </w:p>
          <w:p w:rsidR="007B01CA" w:rsidRPr="00F6580D" w:rsidRDefault="007B01CA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  <w:r>
              <w:rPr>
                <w:b/>
                <w:noProof/>
              </w:rPr>
              <w:t xml:space="preserve"> </w:t>
            </w:r>
          </w:p>
        </w:tc>
      </w:tr>
      <w:tr w:rsidR="007B01CA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7B01CA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7B01CA" w:rsidRPr="00EA66E9" w:rsidRDefault="007B01CA" w:rsidP="00CE1070">
            <w:pPr>
              <w:widowControl w:val="0"/>
              <w:spacing w:before="60"/>
              <w:rPr>
                <w:b/>
                <w:noProof/>
              </w:rPr>
            </w:pPr>
            <w:r w:rsidRPr="00EA66E9">
              <w:rPr>
                <w:b/>
                <w:noProof/>
              </w:rPr>
              <w:t>Nguyễn Thanh Tuấn</w:t>
            </w:r>
          </w:p>
          <w:p w:rsidR="007B01CA" w:rsidRPr="00EA66E9" w:rsidRDefault="007B01CA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Default="007B01CA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7B01CA" w:rsidRPr="00EA66E9" w:rsidRDefault="007B01CA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EA66E9">
              <w:rPr>
                <w:b/>
                <w:noProof/>
              </w:rPr>
              <w:t>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CA" w:rsidRPr="00BD0727" w:rsidRDefault="007B01CA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1CA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B01CA" w:rsidRPr="00F6580D" w:rsidRDefault="007B01CA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05/ 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7B01CA" w:rsidRDefault="007B01CA" w:rsidP="007B01CA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7B01CA" w:rsidRDefault="007B01CA" w:rsidP="007B01CA">
      <w:pPr>
        <w:pStyle w:val="BodyText"/>
        <w:widowControl w:val="0"/>
        <w:pBdr>
          <w:bottom w:val="single" w:sz="4" w:space="1" w:color="auto"/>
        </w:pBdr>
        <w:spacing w:before="120"/>
        <w:rPr>
          <w:rFonts w:ascii="Times New Roman" w:hAnsi="Times New Roman"/>
          <w:b/>
          <w:bCs/>
          <w:noProof/>
          <w:sz w:val="26"/>
          <w:szCs w:val="26"/>
        </w:rPr>
      </w:pPr>
    </w:p>
    <w:p w:rsidR="005E3202" w:rsidRPr="007B01CA" w:rsidRDefault="005E3202" w:rsidP="007B01CA"/>
    <w:sectPr w:rsidR="005E3202" w:rsidRPr="007B01CA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7B01CA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01CA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1CA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7B01CA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Company>Hewlett-Packard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2015-05-04T08:21:00Z</dcterms:created>
  <dcterms:modified xsi:type="dcterms:W3CDTF">2015-05-04T08:26:00Z</dcterms:modified>
</cp:coreProperties>
</file>