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49"/>
        <w:gridCol w:w="5521"/>
      </w:tblGrid>
      <w:tr w:rsidR="006A4775" w:rsidRPr="0095776C" w:rsidTr="006B6515">
        <w:tc>
          <w:tcPr>
            <w:tcW w:w="4049" w:type="dxa"/>
          </w:tcPr>
          <w:p w:rsidR="006A4775" w:rsidRPr="006B6515" w:rsidRDefault="006A4775" w:rsidP="006B6515">
            <w:pPr>
              <w:widowControl w:val="0"/>
              <w:jc w:val="center"/>
              <w:rPr>
                <w:lang w:val="vi-VN"/>
              </w:rPr>
            </w:pPr>
            <w:r w:rsidRPr="006B6515">
              <w:rPr>
                <w:lang w:val="vi-VN"/>
              </w:rPr>
              <w:t xml:space="preserve">BỘ GIÁO DỤC VÀ ĐÀO TẠO </w:t>
            </w:r>
          </w:p>
          <w:p w:rsidR="006A4775" w:rsidRPr="006B6515" w:rsidRDefault="006A4775" w:rsidP="006B6515">
            <w:pPr>
              <w:widowControl w:val="0"/>
              <w:jc w:val="center"/>
              <w:rPr>
                <w:b/>
                <w:bCs/>
                <w:lang w:val="vi-VN"/>
              </w:rPr>
            </w:pPr>
            <w:r w:rsidRPr="006B6515">
              <w:rPr>
                <w:b/>
                <w:bCs/>
                <w:lang w:val="vi-VN"/>
              </w:rPr>
              <w:t>TRƯỜNG ĐẠI HỌC NHA TRANG</w:t>
            </w:r>
          </w:p>
          <w:p w:rsidR="006A4775" w:rsidRPr="006B6515" w:rsidRDefault="006A4775" w:rsidP="006B6515">
            <w:pPr>
              <w:widowControl w:val="0"/>
              <w:jc w:val="center"/>
              <w:rPr>
                <w:b/>
                <w:noProof/>
                <w:lang w:val="vi-VN"/>
              </w:rPr>
            </w:pPr>
            <w:r w:rsidRPr="006B6515">
              <w:rPr>
                <w:sz w:val="10"/>
                <w:szCs w:val="10"/>
                <w:lang w:val="vi-VN"/>
              </w:rPr>
              <w:t>_____________________________________________________</w:t>
            </w:r>
          </w:p>
        </w:tc>
        <w:tc>
          <w:tcPr>
            <w:tcW w:w="5521" w:type="dxa"/>
          </w:tcPr>
          <w:p w:rsidR="006A4775" w:rsidRPr="006B6515" w:rsidRDefault="006A4775" w:rsidP="006B6515">
            <w:pPr>
              <w:widowControl w:val="0"/>
              <w:jc w:val="center"/>
              <w:rPr>
                <w:b/>
                <w:noProof/>
                <w:lang w:val="vi-VN"/>
              </w:rPr>
            </w:pPr>
          </w:p>
        </w:tc>
      </w:tr>
    </w:tbl>
    <w:p w:rsidR="006A4775" w:rsidRPr="0095776C" w:rsidRDefault="006A4775" w:rsidP="001E7C65">
      <w:pPr>
        <w:pStyle w:val="BodyText"/>
        <w:widowControl w:val="0"/>
        <w:spacing w:before="0" w:after="0" w:line="240" w:lineRule="auto"/>
        <w:jc w:val="center"/>
        <w:rPr>
          <w:rFonts w:ascii="Times New Roman" w:hAnsi="Times New Roman"/>
          <w:noProof/>
          <w:lang w:val="vi-VN"/>
        </w:rPr>
      </w:pPr>
    </w:p>
    <w:p w:rsidR="006A4775" w:rsidRPr="00D133F9" w:rsidRDefault="006A4775" w:rsidP="001E7C65">
      <w:pPr>
        <w:pStyle w:val="BodyText"/>
        <w:widowControl w:val="0"/>
        <w:spacing w:before="0" w:after="0" w:line="240" w:lineRule="auto"/>
        <w:jc w:val="center"/>
        <w:rPr>
          <w:rFonts w:ascii="Times New Roman" w:hAnsi="Times New Roman"/>
          <w:b/>
          <w:bCs/>
          <w:noProof/>
          <w:sz w:val="26"/>
          <w:szCs w:val="26"/>
        </w:rPr>
      </w:pPr>
      <w:r w:rsidRPr="00D133F9">
        <w:rPr>
          <w:rFonts w:ascii="Times New Roman" w:hAnsi="Times New Roman"/>
          <w:b/>
          <w:noProof/>
          <w:sz w:val="32"/>
          <w:szCs w:val="32"/>
        </w:rPr>
        <w:t>ĐỀ CƯƠNG HỌC PHẦN</w:t>
      </w:r>
      <w:r>
        <w:rPr>
          <w:rFonts w:ascii="Times New Roman" w:hAnsi="Times New Roman"/>
          <w:b/>
          <w:noProof/>
          <w:sz w:val="32"/>
          <w:szCs w:val="32"/>
        </w:rPr>
        <w:t xml:space="preserve"> </w:t>
      </w:r>
    </w:p>
    <w:p w:rsidR="006A4775" w:rsidRDefault="006A4775" w:rsidP="001E7C65"/>
    <w:tbl>
      <w:tblPr>
        <w:tblW w:w="9512" w:type="dxa"/>
        <w:tblInd w:w="70" w:type="dxa"/>
        <w:tblLayout w:type="fixed"/>
        <w:tblLook w:val="01E0" w:firstRow="1" w:lastRow="1" w:firstColumn="1" w:lastColumn="1" w:noHBand="0" w:noVBand="0"/>
      </w:tblPr>
      <w:tblGrid>
        <w:gridCol w:w="746"/>
        <w:gridCol w:w="2532"/>
        <w:gridCol w:w="6234"/>
      </w:tblGrid>
      <w:tr w:rsidR="006A4775" w:rsidRPr="006D5FAE">
        <w:tc>
          <w:tcPr>
            <w:tcW w:w="746" w:type="dxa"/>
          </w:tcPr>
          <w:p w:rsidR="006A4775" w:rsidRPr="006D5FAE" w:rsidRDefault="006A4775" w:rsidP="00534ECD">
            <w:pPr>
              <w:widowControl w:val="0"/>
              <w:spacing w:before="120"/>
              <w:jc w:val="both"/>
              <w:rPr>
                <w:b/>
                <w:lang w:val="vi-VN"/>
              </w:rPr>
            </w:pPr>
            <w:r w:rsidRPr="006D5FAE">
              <w:rPr>
                <w:b/>
                <w:sz w:val="22"/>
                <w:szCs w:val="22"/>
                <w:lang w:val="vi-VN"/>
              </w:rPr>
              <w:t>1.</w:t>
            </w:r>
          </w:p>
        </w:tc>
        <w:tc>
          <w:tcPr>
            <w:tcW w:w="8766" w:type="dxa"/>
            <w:gridSpan w:val="2"/>
          </w:tcPr>
          <w:p w:rsidR="006A4775" w:rsidRPr="006D5FAE" w:rsidRDefault="006A4775" w:rsidP="00534ECD">
            <w:pPr>
              <w:widowControl w:val="0"/>
              <w:spacing w:before="120"/>
              <w:jc w:val="both"/>
              <w:rPr>
                <w:b/>
                <w:lang w:val="vi-VN"/>
              </w:rPr>
            </w:pPr>
            <w:r w:rsidRPr="006D5FAE">
              <w:rPr>
                <w:b/>
                <w:sz w:val="22"/>
                <w:szCs w:val="22"/>
                <w:lang w:val="vi-VN"/>
              </w:rPr>
              <w:t>Thông tin học phần</w:t>
            </w:r>
          </w:p>
        </w:tc>
      </w:tr>
      <w:tr w:rsidR="006A4775" w:rsidRPr="006D5FAE">
        <w:tc>
          <w:tcPr>
            <w:tcW w:w="746" w:type="dxa"/>
          </w:tcPr>
          <w:p w:rsidR="006A4775" w:rsidRPr="006D5FAE" w:rsidRDefault="006A4775" w:rsidP="00534ECD">
            <w:pPr>
              <w:widowControl w:val="0"/>
              <w:spacing w:before="120"/>
              <w:jc w:val="both"/>
              <w:rPr>
                <w:b/>
                <w:lang w:val="vi-VN"/>
              </w:rPr>
            </w:pPr>
          </w:p>
        </w:tc>
        <w:tc>
          <w:tcPr>
            <w:tcW w:w="2532" w:type="dxa"/>
          </w:tcPr>
          <w:p w:rsidR="006A4775" w:rsidRPr="006D5FAE" w:rsidRDefault="006A4775" w:rsidP="00534ECD">
            <w:pPr>
              <w:widowControl w:val="0"/>
              <w:spacing w:before="120"/>
              <w:jc w:val="both"/>
              <w:rPr>
                <w:b/>
                <w:lang w:val="vi-VN"/>
              </w:rPr>
            </w:pPr>
            <w:r w:rsidRPr="006D5FAE">
              <w:rPr>
                <w:b/>
                <w:sz w:val="22"/>
                <w:szCs w:val="22"/>
                <w:lang w:val="vi-VN"/>
              </w:rPr>
              <w:t>Tên học phần:</w:t>
            </w:r>
          </w:p>
        </w:tc>
        <w:tc>
          <w:tcPr>
            <w:tcW w:w="6234" w:type="dxa"/>
          </w:tcPr>
          <w:p w:rsidR="006A4775" w:rsidRPr="006D5FAE" w:rsidRDefault="006A4775" w:rsidP="00534ECD">
            <w:pPr>
              <w:widowControl w:val="0"/>
              <w:spacing w:before="120"/>
              <w:jc w:val="both"/>
              <w:rPr>
                <w:b/>
                <w:lang w:val="vi-VN"/>
              </w:rPr>
            </w:pPr>
            <w:r w:rsidRPr="006D5FAE">
              <w:rPr>
                <w:b/>
                <w:sz w:val="22"/>
                <w:szCs w:val="22"/>
                <w:lang w:val="vi-VN"/>
              </w:rPr>
              <w:t>QUẢN TRỊ THƯƠNG HIỆU</w:t>
            </w:r>
          </w:p>
          <w:p w:rsidR="006A4775" w:rsidRPr="006D5FAE" w:rsidRDefault="006A4775" w:rsidP="00534ECD">
            <w:pPr>
              <w:widowControl w:val="0"/>
              <w:spacing w:before="120"/>
              <w:jc w:val="both"/>
              <w:rPr>
                <w:b/>
                <w:lang w:val="vi-VN"/>
              </w:rPr>
            </w:pPr>
            <w:r w:rsidRPr="006D5FAE">
              <w:rPr>
                <w:b/>
                <w:sz w:val="22"/>
                <w:szCs w:val="22"/>
                <w:lang w:val="vi-VN"/>
              </w:rPr>
              <w:t>Brand Management</w:t>
            </w:r>
          </w:p>
        </w:tc>
      </w:tr>
      <w:tr w:rsidR="006A4775" w:rsidRPr="006D5FAE">
        <w:tc>
          <w:tcPr>
            <w:tcW w:w="746" w:type="dxa"/>
          </w:tcPr>
          <w:p w:rsidR="006A4775" w:rsidRPr="006D5FAE" w:rsidRDefault="006A4775" w:rsidP="00534ECD">
            <w:pPr>
              <w:widowControl w:val="0"/>
              <w:spacing w:before="120"/>
              <w:jc w:val="both"/>
              <w:rPr>
                <w:b/>
                <w:lang w:val="vi-VN"/>
              </w:rPr>
            </w:pPr>
          </w:p>
        </w:tc>
        <w:tc>
          <w:tcPr>
            <w:tcW w:w="2532" w:type="dxa"/>
          </w:tcPr>
          <w:p w:rsidR="006A4775" w:rsidRPr="006D5FAE" w:rsidRDefault="006A4775" w:rsidP="00534ECD">
            <w:pPr>
              <w:widowControl w:val="0"/>
              <w:spacing w:before="120"/>
              <w:jc w:val="both"/>
              <w:rPr>
                <w:b/>
                <w:lang w:val="vi-VN"/>
              </w:rPr>
            </w:pPr>
            <w:r w:rsidRPr="006D5FAE">
              <w:rPr>
                <w:b/>
                <w:sz w:val="22"/>
                <w:szCs w:val="22"/>
                <w:lang w:val="vi-VN"/>
              </w:rPr>
              <w:t>Mã số:</w:t>
            </w:r>
          </w:p>
        </w:tc>
        <w:tc>
          <w:tcPr>
            <w:tcW w:w="6234" w:type="dxa"/>
          </w:tcPr>
          <w:p w:rsidR="006A4775" w:rsidRPr="006D5FAE" w:rsidRDefault="006A4775" w:rsidP="00534ECD">
            <w:pPr>
              <w:widowControl w:val="0"/>
              <w:spacing w:before="120"/>
              <w:jc w:val="both"/>
              <w:rPr>
                <w:lang w:val="en-GB"/>
              </w:rPr>
            </w:pPr>
            <w:r w:rsidRPr="006D5FAE">
              <w:rPr>
                <w:sz w:val="22"/>
                <w:szCs w:val="22"/>
                <w:lang w:val="en-GB"/>
              </w:rPr>
              <w:t>TRE501</w:t>
            </w:r>
          </w:p>
        </w:tc>
      </w:tr>
      <w:tr w:rsidR="006A4775" w:rsidRPr="006D5FAE">
        <w:tc>
          <w:tcPr>
            <w:tcW w:w="746" w:type="dxa"/>
          </w:tcPr>
          <w:p w:rsidR="006A4775" w:rsidRPr="006D5FAE" w:rsidRDefault="006A4775" w:rsidP="00534ECD">
            <w:pPr>
              <w:widowControl w:val="0"/>
              <w:spacing w:before="120"/>
              <w:jc w:val="both"/>
              <w:rPr>
                <w:b/>
                <w:lang w:val="vi-VN"/>
              </w:rPr>
            </w:pPr>
          </w:p>
        </w:tc>
        <w:tc>
          <w:tcPr>
            <w:tcW w:w="2532" w:type="dxa"/>
          </w:tcPr>
          <w:p w:rsidR="006A4775" w:rsidRPr="006D5FAE" w:rsidRDefault="006A4775" w:rsidP="00534ECD">
            <w:pPr>
              <w:widowControl w:val="0"/>
              <w:spacing w:before="120"/>
              <w:jc w:val="both"/>
              <w:rPr>
                <w:b/>
                <w:lang w:val="vi-VN"/>
              </w:rPr>
            </w:pPr>
            <w:r w:rsidRPr="006D5FAE">
              <w:rPr>
                <w:b/>
                <w:sz w:val="22"/>
                <w:szCs w:val="22"/>
                <w:lang w:val="vi-VN"/>
              </w:rPr>
              <w:t>Thời lượng:</w:t>
            </w:r>
          </w:p>
        </w:tc>
        <w:tc>
          <w:tcPr>
            <w:tcW w:w="6234" w:type="dxa"/>
          </w:tcPr>
          <w:p w:rsidR="006A4775" w:rsidRPr="006D5FAE" w:rsidRDefault="006A4775" w:rsidP="00534ECD">
            <w:pPr>
              <w:widowControl w:val="0"/>
              <w:spacing w:before="120"/>
              <w:jc w:val="both"/>
              <w:rPr>
                <w:lang w:val="vi-VN"/>
              </w:rPr>
            </w:pPr>
            <w:r w:rsidRPr="006D5FAE">
              <w:rPr>
                <w:sz w:val="22"/>
                <w:szCs w:val="22"/>
                <w:lang w:val="vi-VN"/>
              </w:rPr>
              <w:t>2 (1</w:t>
            </w:r>
            <w:r w:rsidRPr="006D5FAE">
              <w:rPr>
                <w:sz w:val="22"/>
                <w:szCs w:val="22"/>
                <w:lang w:val="en-GB"/>
              </w:rPr>
              <w:t>,</w:t>
            </w:r>
            <w:r w:rsidRPr="006D5FAE">
              <w:rPr>
                <w:sz w:val="22"/>
                <w:szCs w:val="22"/>
                <w:lang w:val="vi-VN"/>
              </w:rPr>
              <w:t>5-0</w:t>
            </w:r>
            <w:r w:rsidRPr="006D5FAE">
              <w:rPr>
                <w:sz w:val="22"/>
                <w:szCs w:val="22"/>
                <w:lang w:val="en-GB"/>
              </w:rPr>
              <w:t>,</w:t>
            </w:r>
            <w:r w:rsidRPr="006D5FAE">
              <w:rPr>
                <w:sz w:val="22"/>
                <w:szCs w:val="22"/>
                <w:lang w:val="vi-VN"/>
              </w:rPr>
              <w:t>5)</w:t>
            </w:r>
          </w:p>
        </w:tc>
      </w:tr>
      <w:tr w:rsidR="006A4775" w:rsidRPr="006D5FAE">
        <w:tc>
          <w:tcPr>
            <w:tcW w:w="746" w:type="dxa"/>
          </w:tcPr>
          <w:p w:rsidR="006A4775" w:rsidRPr="006D5FAE" w:rsidRDefault="006A4775" w:rsidP="00534ECD">
            <w:pPr>
              <w:widowControl w:val="0"/>
              <w:spacing w:before="120"/>
              <w:jc w:val="both"/>
              <w:rPr>
                <w:b/>
                <w:lang w:val="vi-VN"/>
              </w:rPr>
            </w:pPr>
          </w:p>
        </w:tc>
        <w:tc>
          <w:tcPr>
            <w:tcW w:w="2532" w:type="dxa"/>
          </w:tcPr>
          <w:p w:rsidR="006A4775" w:rsidRPr="006D5FAE" w:rsidRDefault="006A4775" w:rsidP="00534ECD">
            <w:pPr>
              <w:widowControl w:val="0"/>
              <w:spacing w:before="120"/>
              <w:jc w:val="both"/>
              <w:rPr>
                <w:b/>
                <w:lang w:val="vi-VN"/>
              </w:rPr>
            </w:pPr>
            <w:r w:rsidRPr="006D5FAE">
              <w:rPr>
                <w:b/>
                <w:sz w:val="22"/>
                <w:szCs w:val="22"/>
                <w:lang w:val="vi-VN"/>
              </w:rPr>
              <w:t>Loại:</w:t>
            </w:r>
          </w:p>
        </w:tc>
        <w:tc>
          <w:tcPr>
            <w:tcW w:w="6234" w:type="dxa"/>
          </w:tcPr>
          <w:p w:rsidR="006A4775" w:rsidRPr="006D5FAE" w:rsidRDefault="006A4775" w:rsidP="00534ECD">
            <w:pPr>
              <w:widowControl w:val="0"/>
              <w:spacing w:before="120"/>
              <w:jc w:val="both"/>
              <w:rPr>
                <w:lang w:val="vi-VN"/>
              </w:rPr>
            </w:pPr>
            <w:r w:rsidRPr="006D5FAE">
              <w:rPr>
                <w:sz w:val="22"/>
                <w:szCs w:val="22"/>
                <w:lang w:val="vi-VN"/>
              </w:rPr>
              <w:t>Tự chọn</w:t>
            </w:r>
          </w:p>
        </w:tc>
      </w:tr>
      <w:tr w:rsidR="006A4775" w:rsidRPr="006D5FAE">
        <w:tc>
          <w:tcPr>
            <w:tcW w:w="746" w:type="dxa"/>
          </w:tcPr>
          <w:p w:rsidR="006A4775" w:rsidRPr="006D5FAE" w:rsidRDefault="006A4775" w:rsidP="00534ECD">
            <w:pPr>
              <w:widowControl w:val="0"/>
              <w:spacing w:before="120"/>
              <w:jc w:val="both"/>
              <w:rPr>
                <w:b/>
                <w:lang w:val="vi-VN"/>
              </w:rPr>
            </w:pPr>
          </w:p>
        </w:tc>
        <w:tc>
          <w:tcPr>
            <w:tcW w:w="2532" w:type="dxa"/>
          </w:tcPr>
          <w:p w:rsidR="006A4775" w:rsidRPr="006D5FAE" w:rsidRDefault="006A4775" w:rsidP="00534ECD">
            <w:pPr>
              <w:widowControl w:val="0"/>
              <w:spacing w:before="120"/>
              <w:jc w:val="both"/>
              <w:rPr>
                <w:b/>
                <w:lang w:val="vi-VN"/>
              </w:rPr>
            </w:pPr>
            <w:r w:rsidRPr="006D5FAE">
              <w:rPr>
                <w:b/>
                <w:sz w:val="22"/>
                <w:szCs w:val="22"/>
                <w:lang w:val="vi-VN"/>
              </w:rPr>
              <w:t>Trình độ đào tạo:</w:t>
            </w:r>
          </w:p>
        </w:tc>
        <w:tc>
          <w:tcPr>
            <w:tcW w:w="6234" w:type="dxa"/>
          </w:tcPr>
          <w:p w:rsidR="006A4775" w:rsidRPr="006D5FAE" w:rsidRDefault="006A4775" w:rsidP="00534ECD">
            <w:pPr>
              <w:widowControl w:val="0"/>
              <w:spacing w:before="120"/>
              <w:jc w:val="both"/>
              <w:rPr>
                <w:b/>
                <w:lang w:val="vi-VN"/>
              </w:rPr>
            </w:pPr>
            <w:r w:rsidRPr="006D5FAE">
              <w:rPr>
                <w:sz w:val="22"/>
                <w:szCs w:val="22"/>
                <w:lang w:val="vi-VN"/>
              </w:rPr>
              <w:t>Thạc sĩ</w:t>
            </w:r>
          </w:p>
        </w:tc>
      </w:tr>
      <w:tr w:rsidR="006A4775" w:rsidRPr="006D5FAE">
        <w:tc>
          <w:tcPr>
            <w:tcW w:w="746" w:type="dxa"/>
          </w:tcPr>
          <w:p w:rsidR="006A4775" w:rsidRPr="006D5FAE" w:rsidRDefault="006A4775" w:rsidP="00534ECD">
            <w:pPr>
              <w:widowControl w:val="0"/>
              <w:spacing w:before="120"/>
              <w:jc w:val="both"/>
              <w:rPr>
                <w:b/>
                <w:lang w:val="vi-VN"/>
              </w:rPr>
            </w:pPr>
          </w:p>
        </w:tc>
        <w:tc>
          <w:tcPr>
            <w:tcW w:w="2532" w:type="dxa"/>
          </w:tcPr>
          <w:p w:rsidR="006A4775" w:rsidRPr="006D5FAE" w:rsidRDefault="006A4775" w:rsidP="00534ECD">
            <w:pPr>
              <w:widowControl w:val="0"/>
              <w:spacing w:before="120"/>
              <w:jc w:val="both"/>
              <w:rPr>
                <w:b/>
                <w:lang w:val="vi-VN"/>
              </w:rPr>
            </w:pPr>
            <w:r w:rsidRPr="006D5FAE">
              <w:rPr>
                <w:b/>
                <w:sz w:val="22"/>
                <w:szCs w:val="22"/>
                <w:lang w:val="vi-VN"/>
              </w:rPr>
              <w:t>Đáp ứng CĐR:</w:t>
            </w:r>
          </w:p>
        </w:tc>
        <w:tc>
          <w:tcPr>
            <w:tcW w:w="6234" w:type="dxa"/>
          </w:tcPr>
          <w:p w:rsidR="006A4775" w:rsidRPr="006D5FAE" w:rsidRDefault="006A4775" w:rsidP="00534ECD">
            <w:pPr>
              <w:widowControl w:val="0"/>
              <w:spacing w:before="120"/>
              <w:jc w:val="both"/>
              <w:rPr>
                <w:lang w:val="en-GB"/>
              </w:rPr>
            </w:pPr>
            <w:r w:rsidRPr="006D5FAE">
              <w:rPr>
                <w:sz w:val="22"/>
                <w:szCs w:val="22"/>
                <w:lang w:val="vi-VN"/>
              </w:rPr>
              <w:t xml:space="preserve"> </w:t>
            </w:r>
            <w:r w:rsidRPr="006D5FAE">
              <w:rPr>
                <w:sz w:val="22"/>
                <w:szCs w:val="22"/>
                <w:lang w:val="en-GB"/>
              </w:rPr>
              <w:t>3, 5, 6</w:t>
            </w:r>
          </w:p>
        </w:tc>
      </w:tr>
      <w:tr w:rsidR="006A4775" w:rsidRPr="006D5FAE">
        <w:tc>
          <w:tcPr>
            <w:tcW w:w="746" w:type="dxa"/>
          </w:tcPr>
          <w:p w:rsidR="006A4775" w:rsidRPr="006D5FAE" w:rsidRDefault="006A4775" w:rsidP="00534ECD">
            <w:pPr>
              <w:widowControl w:val="0"/>
              <w:spacing w:before="120"/>
              <w:jc w:val="both"/>
              <w:rPr>
                <w:b/>
                <w:lang w:val="vi-VN"/>
              </w:rPr>
            </w:pPr>
          </w:p>
        </w:tc>
        <w:tc>
          <w:tcPr>
            <w:tcW w:w="2532" w:type="dxa"/>
          </w:tcPr>
          <w:p w:rsidR="006A4775" w:rsidRPr="006D5FAE" w:rsidRDefault="006A4775" w:rsidP="00534ECD">
            <w:pPr>
              <w:widowControl w:val="0"/>
              <w:spacing w:before="120"/>
              <w:jc w:val="both"/>
              <w:rPr>
                <w:b/>
                <w:lang w:val="vi-VN"/>
              </w:rPr>
            </w:pPr>
            <w:r w:rsidRPr="006D5FAE">
              <w:rPr>
                <w:b/>
                <w:sz w:val="22"/>
                <w:szCs w:val="22"/>
                <w:lang w:val="vi-VN"/>
              </w:rPr>
              <w:t>Học phần tiên quyết:</w:t>
            </w:r>
          </w:p>
        </w:tc>
        <w:tc>
          <w:tcPr>
            <w:tcW w:w="6234" w:type="dxa"/>
          </w:tcPr>
          <w:p w:rsidR="006A4775" w:rsidRPr="006D5FAE" w:rsidRDefault="006A4775" w:rsidP="00534ECD">
            <w:pPr>
              <w:widowControl w:val="0"/>
              <w:spacing w:before="120"/>
              <w:jc w:val="both"/>
            </w:pPr>
            <w:r w:rsidRPr="006D5FAE">
              <w:rPr>
                <w:sz w:val="22"/>
                <w:szCs w:val="22"/>
                <w:lang w:val="en-GB"/>
              </w:rPr>
              <w:t>FIB502</w:t>
            </w:r>
            <w:r w:rsidRPr="006D5FAE">
              <w:rPr>
                <w:sz w:val="22"/>
                <w:szCs w:val="22"/>
                <w:lang w:val="vi-VN"/>
              </w:rPr>
              <w:t xml:space="preserve">; </w:t>
            </w:r>
            <w:r w:rsidRPr="006D5FAE">
              <w:rPr>
                <w:sz w:val="22"/>
                <w:szCs w:val="22"/>
              </w:rPr>
              <w:t>ECS509</w:t>
            </w:r>
          </w:p>
        </w:tc>
      </w:tr>
      <w:tr w:rsidR="006A4775" w:rsidRPr="006D5FAE">
        <w:tc>
          <w:tcPr>
            <w:tcW w:w="746" w:type="dxa"/>
          </w:tcPr>
          <w:p w:rsidR="006A4775" w:rsidRPr="006D5FAE" w:rsidRDefault="006A4775" w:rsidP="00534ECD">
            <w:pPr>
              <w:widowControl w:val="0"/>
              <w:spacing w:before="120"/>
              <w:jc w:val="both"/>
              <w:rPr>
                <w:b/>
                <w:lang w:val="vi-VN"/>
              </w:rPr>
            </w:pPr>
          </w:p>
        </w:tc>
        <w:tc>
          <w:tcPr>
            <w:tcW w:w="2532" w:type="dxa"/>
          </w:tcPr>
          <w:p w:rsidR="006A4775" w:rsidRPr="006D5FAE" w:rsidRDefault="006A4775" w:rsidP="00534ECD">
            <w:pPr>
              <w:widowControl w:val="0"/>
              <w:spacing w:before="120"/>
              <w:jc w:val="both"/>
              <w:rPr>
                <w:b/>
                <w:lang w:val="vi-VN"/>
              </w:rPr>
            </w:pPr>
            <w:r w:rsidRPr="006D5FAE">
              <w:rPr>
                <w:b/>
                <w:sz w:val="22"/>
                <w:szCs w:val="22"/>
                <w:lang w:val="vi-VN"/>
              </w:rPr>
              <w:t>Giảng viên biên soạn:</w:t>
            </w:r>
          </w:p>
        </w:tc>
        <w:tc>
          <w:tcPr>
            <w:tcW w:w="6234" w:type="dxa"/>
          </w:tcPr>
          <w:p w:rsidR="006A4775" w:rsidRPr="006D5FAE" w:rsidRDefault="006A4775" w:rsidP="00534ECD">
            <w:pPr>
              <w:widowControl w:val="0"/>
              <w:spacing w:before="120"/>
              <w:jc w:val="both"/>
              <w:rPr>
                <w:lang w:val="vi-VN"/>
              </w:rPr>
            </w:pPr>
            <w:r w:rsidRPr="006D5FAE">
              <w:rPr>
                <w:sz w:val="22"/>
                <w:szCs w:val="22"/>
                <w:lang w:val="vi-VN"/>
              </w:rPr>
              <w:t>T</w:t>
            </w:r>
            <w:r w:rsidRPr="006D5FAE">
              <w:rPr>
                <w:sz w:val="22"/>
                <w:szCs w:val="22"/>
                <w:lang w:val="en-GB"/>
              </w:rPr>
              <w:t xml:space="preserve">S. </w:t>
            </w:r>
            <w:r w:rsidRPr="006D5FAE">
              <w:rPr>
                <w:sz w:val="22"/>
                <w:szCs w:val="22"/>
                <w:lang w:val="vi-VN"/>
              </w:rPr>
              <w:t>Hồ Huy Tựu</w:t>
            </w:r>
          </w:p>
        </w:tc>
      </w:tr>
      <w:tr w:rsidR="006A4775" w:rsidRPr="006D5FAE">
        <w:tc>
          <w:tcPr>
            <w:tcW w:w="746" w:type="dxa"/>
          </w:tcPr>
          <w:p w:rsidR="006A4775" w:rsidRPr="006D5FAE" w:rsidRDefault="006A4775" w:rsidP="00534ECD">
            <w:pPr>
              <w:widowControl w:val="0"/>
              <w:spacing w:before="120"/>
              <w:jc w:val="both"/>
              <w:rPr>
                <w:b/>
                <w:lang w:val="vi-VN"/>
              </w:rPr>
            </w:pPr>
          </w:p>
        </w:tc>
        <w:tc>
          <w:tcPr>
            <w:tcW w:w="2532" w:type="dxa"/>
          </w:tcPr>
          <w:p w:rsidR="006A4775" w:rsidRPr="006D5FAE" w:rsidRDefault="006A4775" w:rsidP="00534ECD">
            <w:pPr>
              <w:widowControl w:val="0"/>
              <w:spacing w:before="120"/>
              <w:jc w:val="both"/>
              <w:rPr>
                <w:b/>
                <w:lang w:val="vi-VN"/>
              </w:rPr>
            </w:pPr>
            <w:r w:rsidRPr="006D5FAE">
              <w:rPr>
                <w:b/>
                <w:sz w:val="22"/>
                <w:szCs w:val="22"/>
                <w:lang w:val="vi-VN"/>
              </w:rPr>
              <w:t>Bộ môn quản lý:</w:t>
            </w:r>
          </w:p>
        </w:tc>
        <w:tc>
          <w:tcPr>
            <w:tcW w:w="6234" w:type="dxa"/>
          </w:tcPr>
          <w:p w:rsidR="006A4775" w:rsidRPr="006D5FAE" w:rsidRDefault="006A4775" w:rsidP="00534ECD">
            <w:pPr>
              <w:widowControl w:val="0"/>
              <w:spacing w:before="120"/>
              <w:jc w:val="both"/>
              <w:rPr>
                <w:lang w:val="vi-VN"/>
              </w:rPr>
            </w:pPr>
            <w:r w:rsidRPr="006D5FAE">
              <w:rPr>
                <w:sz w:val="22"/>
                <w:szCs w:val="22"/>
                <w:lang w:val="vi-VN"/>
              </w:rPr>
              <w:t>Kinh doanh Thương mại</w:t>
            </w:r>
          </w:p>
        </w:tc>
      </w:tr>
    </w:tbl>
    <w:p w:rsidR="006A4775" w:rsidRDefault="006A4775" w:rsidP="001E7C65"/>
    <w:tbl>
      <w:tblPr>
        <w:tblW w:w="9512" w:type="dxa"/>
        <w:tblInd w:w="70" w:type="dxa"/>
        <w:tblLayout w:type="fixed"/>
        <w:tblLook w:val="01E0" w:firstRow="1" w:lastRow="1" w:firstColumn="1" w:lastColumn="1" w:noHBand="0" w:noVBand="0"/>
      </w:tblPr>
      <w:tblGrid>
        <w:gridCol w:w="746"/>
        <w:gridCol w:w="8766"/>
      </w:tblGrid>
      <w:tr w:rsidR="006A4775" w:rsidRPr="006D5FAE">
        <w:tc>
          <w:tcPr>
            <w:tcW w:w="746" w:type="dxa"/>
          </w:tcPr>
          <w:p w:rsidR="006A4775" w:rsidRPr="006D5FAE" w:rsidRDefault="006A4775" w:rsidP="006674DC">
            <w:pPr>
              <w:widowControl w:val="0"/>
              <w:spacing w:before="120"/>
              <w:jc w:val="both"/>
              <w:rPr>
                <w:b/>
                <w:lang w:val="vi-VN"/>
              </w:rPr>
            </w:pPr>
            <w:r w:rsidRPr="006D5FAE">
              <w:rPr>
                <w:b/>
                <w:sz w:val="22"/>
                <w:szCs w:val="22"/>
                <w:lang w:val="vi-VN"/>
              </w:rPr>
              <w:t>2.</w:t>
            </w:r>
          </w:p>
        </w:tc>
        <w:tc>
          <w:tcPr>
            <w:tcW w:w="8766" w:type="dxa"/>
          </w:tcPr>
          <w:p w:rsidR="006A4775" w:rsidRPr="006D5FAE" w:rsidRDefault="006A4775" w:rsidP="006674DC">
            <w:pPr>
              <w:widowControl w:val="0"/>
              <w:spacing w:before="120"/>
              <w:jc w:val="both"/>
              <w:rPr>
                <w:lang w:val="vi-VN"/>
              </w:rPr>
            </w:pPr>
            <w:r w:rsidRPr="006D5FAE">
              <w:rPr>
                <w:b/>
                <w:sz w:val="22"/>
                <w:szCs w:val="22"/>
                <w:lang w:val="vi-VN"/>
              </w:rPr>
              <w:t>Mô tả</w:t>
            </w:r>
          </w:p>
        </w:tc>
      </w:tr>
      <w:tr w:rsidR="006A4775" w:rsidRPr="006D5FAE">
        <w:tc>
          <w:tcPr>
            <w:tcW w:w="746" w:type="dxa"/>
          </w:tcPr>
          <w:p w:rsidR="006A4775" w:rsidRPr="006D5FAE" w:rsidRDefault="006A4775" w:rsidP="006674DC">
            <w:pPr>
              <w:widowControl w:val="0"/>
              <w:spacing w:before="120"/>
              <w:jc w:val="both"/>
              <w:rPr>
                <w:b/>
                <w:lang w:val="vi-VN"/>
              </w:rPr>
            </w:pPr>
          </w:p>
        </w:tc>
        <w:tc>
          <w:tcPr>
            <w:tcW w:w="8766" w:type="dxa"/>
          </w:tcPr>
          <w:p w:rsidR="006A4775" w:rsidRPr="006D5FAE" w:rsidRDefault="006A4775" w:rsidP="006674DC">
            <w:pPr>
              <w:widowControl w:val="0"/>
              <w:spacing w:before="120"/>
              <w:jc w:val="both"/>
              <w:rPr>
                <w:lang w:val="vi-VN"/>
              </w:rPr>
            </w:pPr>
            <w:r w:rsidRPr="000923A3">
              <w:rPr>
                <w:sz w:val="22"/>
                <w:szCs w:val="22"/>
                <w:lang w:val="vi-VN"/>
              </w:rPr>
              <w:t xml:space="preserve">Học phần được tạo lập từ những kiến thức chuyên sâu về quản trị thương hiệu bao gồm: các quan điểm về thương hiệu và tài sản thương hiệu dựa vào khách hàng; hoạch định chiến lược xây dựng và phát triển thương hiệu; các mô hình quản trị thương hiệu; các khía cạnh thành phần trong tài sản thương hiệu dựa vào khách hàng (chất lượng cảm nhận, trung thành thương hiệu, cá tính/nhân cách thương hiệu, hình ảnh thương hiệu).   </w:t>
            </w:r>
          </w:p>
        </w:tc>
      </w:tr>
    </w:tbl>
    <w:p w:rsidR="006A4775" w:rsidRPr="000923A3" w:rsidRDefault="006A4775" w:rsidP="001E7C65">
      <w:pPr>
        <w:rPr>
          <w:lang w:val="vi-VN"/>
        </w:rPr>
      </w:pPr>
    </w:p>
    <w:tbl>
      <w:tblPr>
        <w:tblW w:w="9512" w:type="dxa"/>
        <w:tblInd w:w="70" w:type="dxa"/>
        <w:tblLayout w:type="fixed"/>
        <w:tblLook w:val="01E0" w:firstRow="1" w:lastRow="1" w:firstColumn="1" w:lastColumn="1" w:noHBand="0" w:noVBand="0"/>
      </w:tblPr>
      <w:tblGrid>
        <w:gridCol w:w="746"/>
        <w:gridCol w:w="8766"/>
      </w:tblGrid>
      <w:tr w:rsidR="006A4775" w:rsidRPr="006D5FAE">
        <w:tc>
          <w:tcPr>
            <w:tcW w:w="746" w:type="dxa"/>
          </w:tcPr>
          <w:p w:rsidR="006A4775" w:rsidRPr="006D5FAE" w:rsidRDefault="006A4775" w:rsidP="006674DC">
            <w:pPr>
              <w:widowControl w:val="0"/>
              <w:spacing w:before="120"/>
              <w:jc w:val="both"/>
              <w:rPr>
                <w:b/>
                <w:lang w:val="vi-VN"/>
              </w:rPr>
            </w:pPr>
            <w:r w:rsidRPr="006D5FAE">
              <w:rPr>
                <w:b/>
                <w:sz w:val="22"/>
                <w:szCs w:val="22"/>
                <w:lang w:val="vi-VN"/>
              </w:rPr>
              <w:t>3.</w:t>
            </w:r>
          </w:p>
        </w:tc>
        <w:tc>
          <w:tcPr>
            <w:tcW w:w="8766" w:type="dxa"/>
          </w:tcPr>
          <w:p w:rsidR="006A4775" w:rsidRPr="006D5FAE" w:rsidRDefault="006A4775" w:rsidP="006674DC">
            <w:pPr>
              <w:widowControl w:val="0"/>
              <w:spacing w:before="120"/>
              <w:jc w:val="both"/>
              <w:rPr>
                <w:lang w:val="vi-VN"/>
              </w:rPr>
            </w:pPr>
            <w:r w:rsidRPr="006D5FAE">
              <w:rPr>
                <w:b/>
                <w:sz w:val="22"/>
                <w:szCs w:val="22"/>
                <w:lang w:val="vi-VN"/>
              </w:rPr>
              <w:t>Mục tiêu</w:t>
            </w:r>
          </w:p>
        </w:tc>
      </w:tr>
      <w:tr w:rsidR="006A4775" w:rsidRPr="006D5FAE">
        <w:tc>
          <w:tcPr>
            <w:tcW w:w="746" w:type="dxa"/>
          </w:tcPr>
          <w:p w:rsidR="006A4775" w:rsidRPr="006D5FAE" w:rsidRDefault="006A4775" w:rsidP="006674DC">
            <w:pPr>
              <w:widowControl w:val="0"/>
              <w:spacing w:before="120"/>
              <w:jc w:val="both"/>
              <w:rPr>
                <w:b/>
                <w:lang w:val="vi-VN"/>
              </w:rPr>
            </w:pPr>
          </w:p>
        </w:tc>
        <w:tc>
          <w:tcPr>
            <w:tcW w:w="8766" w:type="dxa"/>
          </w:tcPr>
          <w:p w:rsidR="006A4775" w:rsidRPr="006D5FAE" w:rsidRDefault="006A4775" w:rsidP="006674DC">
            <w:pPr>
              <w:widowControl w:val="0"/>
              <w:spacing w:before="120"/>
              <w:jc w:val="both"/>
              <w:rPr>
                <w:spacing w:val="-2"/>
                <w:lang w:val="vi-VN"/>
              </w:rPr>
            </w:pPr>
            <w:r w:rsidRPr="006D5FAE">
              <w:rPr>
                <w:sz w:val="22"/>
                <w:szCs w:val="22"/>
                <w:lang w:val="vi-VN"/>
              </w:rPr>
              <w:t xml:space="preserve">Mục tiêu của học phần </w:t>
            </w:r>
            <w:r w:rsidRPr="000923A3">
              <w:rPr>
                <w:sz w:val="22"/>
                <w:szCs w:val="22"/>
                <w:lang w:val="vi-VN"/>
              </w:rPr>
              <w:t xml:space="preserve">này </w:t>
            </w:r>
            <w:r w:rsidRPr="006D5FAE">
              <w:rPr>
                <w:sz w:val="22"/>
                <w:szCs w:val="22"/>
                <w:lang w:val="vi-VN"/>
              </w:rPr>
              <w:t>nhằm cung cấp</w:t>
            </w:r>
            <w:r w:rsidRPr="000923A3">
              <w:rPr>
                <w:sz w:val="22"/>
                <w:szCs w:val="22"/>
                <w:lang w:val="vi-VN"/>
              </w:rPr>
              <w:t xml:space="preserve"> cho học viên:</w:t>
            </w:r>
            <w:r w:rsidRPr="006D5FAE">
              <w:rPr>
                <w:sz w:val="22"/>
                <w:szCs w:val="22"/>
                <w:lang w:val="vi-VN"/>
              </w:rPr>
              <w:t xml:space="preserve"> những kiến thức, kỹ năng thực hành trong việc </w:t>
            </w:r>
            <w:r w:rsidRPr="000923A3">
              <w:rPr>
                <w:sz w:val="22"/>
                <w:szCs w:val="22"/>
                <w:lang w:val="vi-VN"/>
              </w:rPr>
              <w:t>hoạch</w:t>
            </w:r>
            <w:r w:rsidRPr="006D5FAE">
              <w:rPr>
                <w:sz w:val="22"/>
                <w:szCs w:val="22"/>
                <w:lang w:val="vi-VN"/>
              </w:rPr>
              <w:t xml:space="preserve"> định, triển khai, đánh giá và hoàn thiện các vấn đề liên quan đến xây dựng và phát triển thương hiệu ở doanh nghiệp, góp phần nâng cao kiến thức và kỹ năng thực hành của người học đối với quá trình xây dựng và phát triển thương hiệu ở doanh nghiệp.</w:t>
            </w:r>
          </w:p>
        </w:tc>
      </w:tr>
    </w:tbl>
    <w:p w:rsidR="006A4775" w:rsidRPr="000923A3" w:rsidRDefault="006A4775" w:rsidP="006674DC">
      <w:pPr>
        <w:spacing w:before="120"/>
        <w:rPr>
          <w:lang w:val="vi-VN"/>
        </w:rPr>
      </w:pPr>
    </w:p>
    <w:tbl>
      <w:tblPr>
        <w:tblW w:w="9512" w:type="dxa"/>
        <w:tblInd w:w="70" w:type="dxa"/>
        <w:tblLayout w:type="fixed"/>
        <w:tblLook w:val="01E0" w:firstRow="1" w:lastRow="1" w:firstColumn="1" w:lastColumn="1" w:noHBand="0" w:noVBand="0"/>
      </w:tblPr>
      <w:tblGrid>
        <w:gridCol w:w="746"/>
        <w:gridCol w:w="8766"/>
      </w:tblGrid>
      <w:tr w:rsidR="006A4775" w:rsidRPr="006D5FAE">
        <w:tc>
          <w:tcPr>
            <w:tcW w:w="746" w:type="dxa"/>
          </w:tcPr>
          <w:p w:rsidR="006A4775" w:rsidRPr="006D5FAE" w:rsidRDefault="006A4775" w:rsidP="006674DC">
            <w:pPr>
              <w:widowControl w:val="0"/>
              <w:spacing w:before="120"/>
              <w:jc w:val="both"/>
              <w:rPr>
                <w:b/>
                <w:lang w:val="vi-VN"/>
              </w:rPr>
            </w:pPr>
            <w:r w:rsidRPr="006D5FAE">
              <w:rPr>
                <w:b/>
                <w:sz w:val="22"/>
                <w:szCs w:val="22"/>
                <w:lang w:val="vi-VN"/>
              </w:rPr>
              <w:t>4.</w:t>
            </w:r>
          </w:p>
        </w:tc>
        <w:tc>
          <w:tcPr>
            <w:tcW w:w="8766" w:type="dxa"/>
          </w:tcPr>
          <w:p w:rsidR="006A4775" w:rsidRPr="006D5FAE" w:rsidRDefault="006A4775" w:rsidP="006674DC">
            <w:pPr>
              <w:widowControl w:val="0"/>
              <w:spacing w:before="120"/>
              <w:jc w:val="both"/>
              <w:rPr>
                <w:lang w:val="vi-VN"/>
              </w:rPr>
            </w:pPr>
            <w:r w:rsidRPr="006D5FAE">
              <w:rPr>
                <w:b/>
                <w:sz w:val="22"/>
                <w:szCs w:val="22"/>
                <w:lang w:val="vi-VN"/>
              </w:rPr>
              <w:t>Kết quả học tập mong đợi</w:t>
            </w:r>
          </w:p>
        </w:tc>
      </w:tr>
      <w:tr w:rsidR="006A4775" w:rsidRPr="006D5FAE">
        <w:tc>
          <w:tcPr>
            <w:tcW w:w="746" w:type="dxa"/>
          </w:tcPr>
          <w:p w:rsidR="006A4775" w:rsidRPr="006D5FAE" w:rsidRDefault="006A4775" w:rsidP="006674DC">
            <w:pPr>
              <w:widowControl w:val="0"/>
              <w:spacing w:before="120"/>
              <w:jc w:val="both"/>
              <w:rPr>
                <w:b/>
                <w:lang w:val="vi-VN"/>
              </w:rPr>
            </w:pPr>
          </w:p>
        </w:tc>
        <w:tc>
          <w:tcPr>
            <w:tcW w:w="8766" w:type="dxa"/>
          </w:tcPr>
          <w:p w:rsidR="006A4775" w:rsidRPr="006D5FAE" w:rsidRDefault="006A4775" w:rsidP="006674DC">
            <w:pPr>
              <w:widowControl w:val="0"/>
              <w:spacing w:before="120"/>
              <w:jc w:val="both"/>
              <w:rPr>
                <w:lang w:val="vi-VN"/>
              </w:rPr>
            </w:pPr>
            <w:r w:rsidRPr="006D5FAE">
              <w:rPr>
                <w:bCs/>
                <w:sz w:val="22"/>
                <w:szCs w:val="22"/>
                <w:lang w:val="vi-VN"/>
              </w:rPr>
              <w:t>Sau khi học xong học phần, học viên có thể:</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1)</w:t>
            </w:r>
          </w:p>
        </w:tc>
        <w:tc>
          <w:tcPr>
            <w:tcW w:w="8766" w:type="dxa"/>
          </w:tcPr>
          <w:p w:rsidR="006A4775" w:rsidRPr="006D5FAE" w:rsidRDefault="006A4775" w:rsidP="006674DC">
            <w:pPr>
              <w:widowControl w:val="0"/>
              <w:spacing w:before="120"/>
              <w:jc w:val="both"/>
              <w:rPr>
                <w:bCs/>
                <w:lang w:val="vi-VN"/>
              </w:rPr>
            </w:pPr>
            <w:r w:rsidRPr="006D5FAE">
              <w:rPr>
                <w:bCs/>
                <w:sz w:val="22"/>
                <w:szCs w:val="22"/>
                <w:lang w:val="vi-VN"/>
              </w:rPr>
              <w:t>Hiểu được các quan điểm khác nhau về thương hiệu nói chung, phân biệt sự khác nhau và mối quan hệ giữa thương hiệu sản phẩm và thương hiệu tổ chức phục vụ việc hoạch định chiến lược xây dựng và phát triển thương hiệu ở doanh nghiệp.</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2)</w:t>
            </w:r>
          </w:p>
        </w:tc>
        <w:tc>
          <w:tcPr>
            <w:tcW w:w="8766" w:type="dxa"/>
          </w:tcPr>
          <w:p w:rsidR="006A4775" w:rsidRPr="006D5FAE" w:rsidRDefault="006A4775" w:rsidP="006674DC">
            <w:pPr>
              <w:widowControl w:val="0"/>
              <w:spacing w:before="120"/>
              <w:jc w:val="both"/>
              <w:rPr>
                <w:bCs/>
                <w:lang w:val="vi-VN"/>
              </w:rPr>
            </w:pPr>
            <w:r w:rsidRPr="006D5FAE">
              <w:rPr>
                <w:bCs/>
                <w:sz w:val="22"/>
                <w:szCs w:val="22"/>
                <w:lang w:val="vi-VN"/>
              </w:rPr>
              <w:t>Hiểu các mô hình đánh giá tài sản thương hiệu dựa vào khách hàng, và áp dụng thành công vào tình huống cụ thể trong việc xây dựng và thực hiện hệ thống các tiêu chí đánh giá tài sản thương hiệu dựa vào khách hàng tại doanh nghiệp.</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3)</w:t>
            </w:r>
          </w:p>
        </w:tc>
        <w:tc>
          <w:tcPr>
            <w:tcW w:w="8766" w:type="dxa"/>
          </w:tcPr>
          <w:p w:rsidR="006A4775" w:rsidRPr="006D5FAE" w:rsidRDefault="006A4775" w:rsidP="006674DC">
            <w:pPr>
              <w:widowControl w:val="0"/>
              <w:spacing w:before="120"/>
              <w:jc w:val="both"/>
              <w:rPr>
                <w:bCs/>
                <w:lang w:val="vi-VN"/>
              </w:rPr>
            </w:pPr>
            <w:r w:rsidRPr="006D5FAE">
              <w:rPr>
                <w:bCs/>
                <w:sz w:val="22"/>
                <w:szCs w:val="22"/>
                <w:lang w:val="vi-VN"/>
              </w:rPr>
              <w:t>Hiểu được quá trình hình thành thương hiệu và các chiến lược tương ứng</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4)</w:t>
            </w:r>
          </w:p>
        </w:tc>
        <w:tc>
          <w:tcPr>
            <w:tcW w:w="8766" w:type="dxa"/>
          </w:tcPr>
          <w:p w:rsidR="006A4775" w:rsidRPr="006D5FAE" w:rsidRDefault="006A4775" w:rsidP="006674DC">
            <w:pPr>
              <w:widowControl w:val="0"/>
              <w:spacing w:before="120"/>
              <w:jc w:val="both"/>
              <w:rPr>
                <w:bCs/>
                <w:lang w:val="vi-VN"/>
              </w:rPr>
            </w:pPr>
            <w:r w:rsidRPr="006D5FAE">
              <w:rPr>
                <w:bCs/>
                <w:sz w:val="22"/>
                <w:szCs w:val="22"/>
                <w:lang w:val="vi-VN"/>
              </w:rPr>
              <w:t>Hiểu được các nhân tố ảnh hưởng và kết quả của việc xây dựng thương hiệu mạnh, và đề xuất các hàm ý ứng dụng chiến lược</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5)</w:t>
            </w:r>
          </w:p>
        </w:tc>
        <w:tc>
          <w:tcPr>
            <w:tcW w:w="8766" w:type="dxa"/>
          </w:tcPr>
          <w:p w:rsidR="006A4775" w:rsidRPr="00061EB7" w:rsidRDefault="006A4775" w:rsidP="006674DC">
            <w:pPr>
              <w:widowControl w:val="0"/>
              <w:spacing w:before="120"/>
              <w:jc w:val="both"/>
              <w:rPr>
                <w:bCs/>
              </w:rPr>
            </w:pPr>
            <w:r w:rsidRPr="006D5FAE">
              <w:rPr>
                <w:bCs/>
                <w:sz w:val="22"/>
                <w:szCs w:val="22"/>
                <w:lang w:val="vi-VN"/>
              </w:rPr>
              <w:t>Phân tích và liên kết các yếu tố hợp thành tài sản thương hiệu dựa vào khách hàng, và gợi ý các giải pháp nâng cao tài sản thương hiệu của doanh nghiệp.</w:t>
            </w:r>
          </w:p>
        </w:tc>
      </w:tr>
    </w:tbl>
    <w:p w:rsidR="006A4775" w:rsidRPr="000923A3" w:rsidRDefault="006A4775" w:rsidP="001E7C65">
      <w:pPr>
        <w:rPr>
          <w:lang w:val="vi-VN"/>
        </w:rPr>
      </w:pPr>
    </w:p>
    <w:tbl>
      <w:tblPr>
        <w:tblW w:w="9512" w:type="dxa"/>
        <w:tblInd w:w="70" w:type="dxa"/>
        <w:tblLayout w:type="fixed"/>
        <w:tblLook w:val="01E0" w:firstRow="1" w:lastRow="1" w:firstColumn="1" w:lastColumn="1" w:noHBand="0" w:noVBand="0"/>
      </w:tblPr>
      <w:tblGrid>
        <w:gridCol w:w="746"/>
        <w:gridCol w:w="5940"/>
        <w:gridCol w:w="1367"/>
        <w:gridCol w:w="805"/>
        <w:gridCol w:w="654"/>
      </w:tblGrid>
      <w:tr w:rsidR="006A4775" w:rsidRPr="006D5FAE">
        <w:tc>
          <w:tcPr>
            <w:tcW w:w="746" w:type="dxa"/>
            <w:tcBorders>
              <w:bottom w:val="single" w:sz="4" w:space="0" w:color="auto"/>
            </w:tcBorders>
          </w:tcPr>
          <w:p w:rsidR="006A4775" w:rsidRPr="006D5FAE" w:rsidRDefault="006A4775" w:rsidP="00534ECD">
            <w:pPr>
              <w:widowControl w:val="0"/>
              <w:jc w:val="both"/>
              <w:rPr>
                <w:b/>
                <w:lang w:val="vi-VN"/>
              </w:rPr>
            </w:pPr>
            <w:r w:rsidRPr="006D5FAE">
              <w:rPr>
                <w:b/>
                <w:sz w:val="22"/>
                <w:szCs w:val="22"/>
                <w:lang w:val="vi-VN"/>
              </w:rPr>
              <w:lastRenderedPageBreak/>
              <w:t>5.</w:t>
            </w:r>
          </w:p>
        </w:tc>
        <w:tc>
          <w:tcPr>
            <w:tcW w:w="8766" w:type="dxa"/>
            <w:gridSpan w:val="4"/>
            <w:tcBorders>
              <w:bottom w:val="single" w:sz="4" w:space="0" w:color="auto"/>
            </w:tcBorders>
          </w:tcPr>
          <w:p w:rsidR="006A4775" w:rsidRPr="006D5FAE" w:rsidRDefault="006A4775" w:rsidP="00534ECD">
            <w:pPr>
              <w:widowControl w:val="0"/>
              <w:jc w:val="both"/>
              <w:rPr>
                <w:lang w:val="vi-VN"/>
              </w:rPr>
            </w:pPr>
            <w:r w:rsidRPr="006D5FAE">
              <w:rPr>
                <w:b/>
                <w:sz w:val="22"/>
                <w:szCs w:val="22"/>
                <w:lang w:val="vi-VN"/>
              </w:rPr>
              <w:t>Nội dung</w:t>
            </w:r>
          </w:p>
        </w:tc>
      </w:tr>
      <w:tr w:rsidR="006A4775" w:rsidRPr="006D5FAE">
        <w:tc>
          <w:tcPr>
            <w:tcW w:w="746" w:type="dxa"/>
            <w:vMerge w:val="restart"/>
            <w:tcBorders>
              <w:top w:val="single" w:sz="4" w:space="0" w:color="auto"/>
              <w:left w:val="single" w:sz="4" w:space="0" w:color="auto"/>
              <w:bottom w:val="single" w:sz="4" w:space="0" w:color="auto"/>
              <w:right w:val="single" w:sz="4" w:space="0" w:color="auto"/>
            </w:tcBorders>
            <w:vAlign w:val="center"/>
          </w:tcPr>
          <w:p w:rsidR="006A4775" w:rsidRPr="006D5FAE" w:rsidRDefault="006A4775" w:rsidP="00534ECD">
            <w:pPr>
              <w:widowControl w:val="0"/>
              <w:jc w:val="center"/>
              <w:rPr>
                <w:b/>
                <w:lang w:val="vi-VN"/>
              </w:rPr>
            </w:pPr>
            <w:r w:rsidRPr="006D5FAE">
              <w:rPr>
                <w:b/>
                <w:sz w:val="22"/>
                <w:szCs w:val="22"/>
                <w:lang w:val="vi-VN"/>
              </w:rPr>
              <w:t>TT</w:t>
            </w:r>
          </w:p>
        </w:tc>
        <w:tc>
          <w:tcPr>
            <w:tcW w:w="5940" w:type="dxa"/>
            <w:vMerge w:val="restart"/>
            <w:tcBorders>
              <w:top w:val="single" w:sz="4" w:space="0" w:color="auto"/>
              <w:left w:val="single" w:sz="4" w:space="0" w:color="auto"/>
              <w:bottom w:val="single" w:sz="4" w:space="0" w:color="auto"/>
              <w:right w:val="single" w:sz="4" w:space="0" w:color="auto"/>
            </w:tcBorders>
            <w:vAlign w:val="center"/>
          </w:tcPr>
          <w:p w:rsidR="006A4775" w:rsidRPr="006D5FAE" w:rsidRDefault="006A4775" w:rsidP="00534ECD">
            <w:pPr>
              <w:widowControl w:val="0"/>
              <w:jc w:val="center"/>
              <w:rPr>
                <w:b/>
                <w:lang w:val="vi-VN"/>
              </w:rPr>
            </w:pPr>
            <w:r w:rsidRPr="006D5FAE">
              <w:rPr>
                <w:b/>
                <w:sz w:val="22"/>
                <w:szCs w:val="22"/>
                <w:lang w:val="vi-VN"/>
              </w:rPr>
              <w:t>Chủ đề</w:t>
            </w:r>
          </w:p>
        </w:tc>
        <w:tc>
          <w:tcPr>
            <w:tcW w:w="1367" w:type="dxa"/>
            <w:vMerge w:val="restart"/>
            <w:tcBorders>
              <w:top w:val="single" w:sz="4" w:space="0" w:color="auto"/>
              <w:left w:val="single" w:sz="4" w:space="0" w:color="auto"/>
              <w:bottom w:val="single" w:sz="4" w:space="0" w:color="auto"/>
              <w:right w:val="single" w:sz="4" w:space="0" w:color="auto"/>
            </w:tcBorders>
            <w:vAlign w:val="center"/>
          </w:tcPr>
          <w:p w:rsidR="006A4775" w:rsidRPr="006D5FAE" w:rsidRDefault="006A4775" w:rsidP="00534ECD">
            <w:pPr>
              <w:widowControl w:val="0"/>
              <w:jc w:val="center"/>
              <w:rPr>
                <w:lang w:val="vi-VN"/>
              </w:rPr>
            </w:pPr>
            <w:r w:rsidRPr="006D5FAE">
              <w:rPr>
                <w:b/>
                <w:bCs/>
                <w:sz w:val="22"/>
                <w:szCs w:val="22"/>
                <w:lang w:val="vi-VN"/>
              </w:rPr>
              <w:t>Nhằm đạt KQHT</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6A4775" w:rsidRPr="006D5FAE" w:rsidRDefault="006A4775" w:rsidP="00534ECD">
            <w:pPr>
              <w:widowControl w:val="0"/>
              <w:jc w:val="center"/>
              <w:rPr>
                <w:lang w:val="vi-VN"/>
              </w:rPr>
            </w:pPr>
            <w:r w:rsidRPr="006D5FAE">
              <w:rPr>
                <w:b/>
                <w:bCs/>
                <w:sz w:val="22"/>
                <w:szCs w:val="22"/>
                <w:lang w:val="vi-VN"/>
              </w:rPr>
              <w:t>Số tiết</w:t>
            </w:r>
          </w:p>
        </w:tc>
      </w:tr>
      <w:tr w:rsidR="006A4775" w:rsidRPr="006D5FAE">
        <w:tc>
          <w:tcPr>
            <w:tcW w:w="746" w:type="dxa"/>
            <w:vMerge/>
            <w:tcBorders>
              <w:top w:val="single" w:sz="4" w:space="0" w:color="auto"/>
              <w:left w:val="single" w:sz="4" w:space="0" w:color="auto"/>
              <w:bottom w:val="single" w:sz="4" w:space="0" w:color="auto"/>
              <w:right w:val="single" w:sz="4" w:space="0" w:color="auto"/>
            </w:tcBorders>
            <w:vAlign w:val="center"/>
          </w:tcPr>
          <w:p w:rsidR="006A4775" w:rsidRPr="006D5FAE" w:rsidRDefault="006A4775" w:rsidP="00534ECD">
            <w:pPr>
              <w:widowControl w:val="0"/>
              <w:jc w:val="center"/>
              <w:rPr>
                <w:b/>
                <w:lang w:val="vi-VN"/>
              </w:rPr>
            </w:pPr>
          </w:p>
        </w:tc>
        <w:tc>
          <w:tcPr>
            <w:tcW w:w="5940" w:type="dxa"/>
            <w:vMerge/>
            <w:tcBorders>
              <w:top w:val="single" w:sz="4" w:space="0" w:color="auto"/>
              <w:left w:val="single" w:sz="4" w:space="0" w:color="auto"/>
              <w:bottom w:val="single" w:sz="4" w:space="0" w:color="auto"/>
              <w:right w:val="single" w:sz="4" w:space="0" w:color="auto"/>
            </w:tcBorders>
            <w:vAlign w:val="center"/>
          </w:tcPr>
          <w:p w:rsidR="006A4775" w:rsidRPr="006D5FAE" w:rsidRDefault="006A4775" w:rsidP="00534ECD">
            <w:pPr>
              <w:widowControl w:val="0"/>
              <w:jc w:val="center"/>
              <w:rPr>
                <w:b/>
                <w:lang w:val="vi-VN"/>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6A4775" w:rsidRPr="006D5FAE" w:rsidRDefault="006A4775" w:rsidP="00534ECD">
            <w:pPr>
              <w:widowControl w:val="0"/>
              <w:jc w:val="center"/>
              <w:rPr>
                <w:lang w:val="vi-VN"/>
              </w:rPr>
            </w:pPr>
          </w:p>
        </w:tc>
        <w:tc>
          <w:tcPr>
            <w:tcW w:w="805" w:type="dxa"/>
            <w:tcBorders>
              <w:top w:val="single" w:sz="4" w:space="0" w:color="auto"/>
              <w:left w:val="single" w:sz="4" w:space="0" w:color="auto"/>
              <w:bottom w:val="single" w:sz="4" w:space="0" w:color="auto"/>
              <w:right w:val="single" w:sz="4" w:space="0" w:color="auto"/>
            </w:tcBorders>
            <w:vAlign w:val="center"/>
          </w:tcPr>
          <w:p w:rsidR="006A4775" w:rsidRPr="006D5FAE" w:rsidRDefault="006A4775" w:rsidP="00534ECD">
            <w:pPr>
              <w:widowControl w:val="0"/>
              <w:ind w:left="34"/>
              <w:jc w:val="center"/>
              <w:rPr>
                <w:b/>
                <w:bCs/>
                <w:lang w:val="vi-VN"/>
              </w:rPr>
            </w:pPr>
            <w:r w:rsidRPr="006D5FAE">
              <w:rPr>
                <w:b/>
                <w:bCs/>
                <w:sz w:val="22"/>
                <w:szCs w:val="22"/>
                <w:lang w:val="vi-VN"/>
              </w:rPr>
              <w:t>LT</w:t>
            </w:r>
          </w:p>
        </w:tc>
        <w:tc>
          <w:tcPr>
            <w:tcW w:w="654" w:type="dxa"/>
            <w:tcBorders>
              <w:top w:val="single" w:sz="4" w:space="0" w:color="auto"/>
              <w:left w:val="single" w:sz="4" w:space="0" w:color="auto"/>
              <w:bottom w:val="single" w:sz="4" w:space="0" w:color="auto"/>
              <w:right w:val="single" w:sz="4" w:space="0" w:color="auto"/>
            </w:tcBorders>
            <w:vAlign w:val="center"/>
          </w:tcPr>
          <w:p w:rsidR="006A4775" w:rsidRPr="006D5FAE" w:rsidRDefault="006A4775" w:rsidP="00534ECD">
            <w:pPr>
              <w:widowControl w:val="0"/>
              <w:ind w:left="34"/>
              <w:jc w:val="center"/>
              <w:rPr>
                <w:b/>
                <w:bCs/>
                <w:lang w:val="vi-VN"/>
              </w:rPr>
            </w:pPr>
            <w:r w:rsidRPr="006D5FAE">
              <w:rPr>
                <w:b/>
                <w:bCs/>
                <w:sz w:val="22"/>
                <w:szCs w:val="22"/>
                <w:lang w:val="vi-VN"/>
              </w:rPr>
              <w:t>TH</w:t>
            </w:r>
          </w:p>
        </w:tc>
      </w:tr>
      <w:tr w:rsidR="006A4775" w:rsidRPr="006D5FAE">
        <w:tc>
          <w:tcPr>
            <w:tcW w:w="746" w:type="dxa"/>
            <w:tcBorders>
              <w:top w:val="single" w:sz="4" w:space="0" w:color="auto"/>
              <w:left w:val="single" w:sz="4" w:space="0" w:color="auto"/>
              <w:bottom w:val="single" w:sz="4" w:space="0" w:color="auto"/>
              <w:right w:val="single" w:sz="4" w:space="0" w:color="auto"/>
            </w:tcBorders>
          </w:tcPr>
          <w:p w:rsidR="006A4775" w:rsidRPr="006D5FAE" w:rsidRDefault="006A4775" w:rsidP="006674DC">
            <w:pPr>
              <w:widowControl w:val="0"/>
              <w:tabs>
                <w:tab w:val="center" w:pos="1620"/>
                <w:tab w:val="center" w:pos="6521"/>
              </w:tabs>
              <w:jc w:val="center"/>
              <w:outlineLvl w:val="1"/>
              <w:rPr>
                <w:b/>
                <w:lang w:val="vi-VN"/>
              </w:rPr>
            </w:pPr>
            <w:r w:rsidRPr="006D5FAE">
              <w:rPr>
                <w:b/>
                <w:sz w:val="22"/>
                <w:szCs w:val="22"/>
                <w:lang w:val="vi-VN"/>
              </w:rPr>
              <w:t>1.</w:t>
            </w:r>
          </w:p>
          <w:p w:rsidR="006A4775" w:rsidRPr="006D5FAE" w:rsidRDefault="006A4775" w:rsidP="006674DC">
            <w:pPr>
              <w:widowControl w:val="0"/>
              <w:tabs>
                <w:tab w:val="center" w:pos="1620"/>
                <w:tab w:val="center" w:pos="6521"/>
              </w:tabs>
              <w:jc w:val="center"/>
              <w:outlineLvl w:val="1"/>
              <w:rPr>
                <w:lang w:val="vi-VN"/>
              </w:rPr>
            </w:pPr>
            <w:r w:rsidRPr="006D5FAE">
              <w:rPr>
                <w:sz w:val="22"/>
                <w:szCs w:val="22"/>
                <w:lang w:val="vi-VN"/>
              </w:rPr>
              <w:t>1.1</w:t>
            </w:r>
          </w:p>
          <w:p w:rsidR="006A4775" w:rsidRPr="006D5FAE" w:rsidRDefault="006A4775" w:rsidP="006674DC">
            <w:pPr>
              <w:widowControl w:val="0"/>
              <w:tabs>
                <w:tab w:val="center" w:pos="1620"/>
                <w:tab w:val="center" w:pos="6521"/>
              </w:tabs>
              <w:jc w:val="center"/>
              <w:outlineLvl w:val="1"/>
              <w:rPr>
                <w:lang w:val="en-GB"/>
              </w:rPr>
            </w:pPr>
            <w:r w:rsidRPr="006D5FAE">
              <w:rPr>
                <w:sz w:val="22"/>
                <w:szCs w:val="22"/>
                <w:lang w:val="vi-VN"/>
              </w:rPr>
              <w:t>1.2</w:t>
            </w:r>
          </w:p>
          <w:p w:rsidR="006A4775" w:rsidRPr="006D5FAE" w:rsidRDefault="006A4775" w:rsidP="006674DC">
            <w:pPr>
              <w:widowControl w:val="0"/>
              <w:tabs>
                <w:tab w:val="center" w:pos="1620"/>
                <w:tab w:val="center" w:pos="6521"/>
              </w:tabs>
              <w:jc w:val="center"/>
              <w:outlineLvl w:val="1"/>
              <w:rPr>
                <w:lang w:val="en-GB"/>
              </w:rPr>
            </w:pPr>
          </w:p>
          <w:p w:rsidR="006A4775" w:rsidRPr="006D5FAE" w:rsidRDefault="006A4775" w:rsidP="006674DC">
            <w:pPr>
              <w:widowControl w:val="0"/>
              <w:tabs>
                <w:tab w:val="center" w:pos="1620"/>
                <w:tab w:val="center" w:pos="6521"/>
              </w:tabs>
              <w:jc w:val="center"/>
              <w:outlineLvl w:val="1"/>
              <w:rPr>
                <w:lang w:val="vi-VN"/>
              </w:rPr>
            </w:pPr>
            <w:r w:rsidRPr="006D5FAE">
              <w:rPr>
                <w:sz w:val="22"/>
                <w:szCs w:val="22"/>
                <w:lang w:val="vi-VN"/>
              </w:rPr>
              <w:t>1.3</w:t>
            </w:r>
          </w:p>
          <w:p w:rsidR="006A4775" w:rsidRPr="006D5FAE" w:rsidRDefault="006A4775" w:rsidP="006674DC">
            <w:pPr>
              <w:widowControl w:val="0"/>
              <w:tabs>
                <w:tab w:val="center" w:pos="1620"/>
                <w:tab w:val="center" w:pos="6521"/>
              </w:tabs>
              <w:jc w:val="center"/>
              <w:outlineLvl w:val="1"/>
              <w:rPr>
                <w:lang w:val="vi-VN"/>
              </w:rPr>
            </w:pPr>
            <w:r w:rsidRPr="006D5FAE">
              <w:rPr>
                <w:sz w:val="22"/>
                <w:szCs w:val="22"/>
                <w:lang w:val="vi-VN"/>
              </w:rPr>
              <w:t>1.4</w:t>
            </w:r>
          </w:p>
          <w:p w:rsidR="006A4775" w:rsidRPr="006D5FAE" w:rsidRDefault="006A4775" w:rsidP="006674DC">
            <w:pPr>
              <w:widowControl w:val="0"/>
              <w:tabs>
                <w:tab w:val="center" w:pos="1620"/>
                <w:tab w:val="center" w:pos="6521"/>
              </w:tabs>
              <w:jc w:val="center"/>
              <w:outlineLvl w:val="1"/>
              <w:rPr>
                <w:lang w:val="vi-VN"/>
              </w:rPr>
            </w:pPr>
            <w:r w:rsidRPr="006D5FAE">
              <w:rPr>
                <w:sz w:val="22"/>
                <w:szCs w:val="22"/>
                <w:lang w:val="vi-VN"/>
              </w:rPr>
              <w:t>1.5</w:t>
            </w:r>
          </w:p>
          <w:p w:rsidR="006A4775" w:rsidRPr="006D5FAE" w:rsidRDefault="006A4775" w:rsidP="006674DC">
            <w:pPr>
              <w:widowControl w:val="0"/>
              <w:tabs>
                <w:tab w:val="center" w:pos="1620"/>
                <w:tab w:val="center" w:pos="6521"/>
              </w:tabs>
              <w:jc w:val="center"/>
              <w:outlineLvl w:val="1"/>
              <w:rPr>
                <w:lang w:val="vi-VN"/>
              </w:rPr>
            </w:pPr>
            <w:r w:rsidRPr="006D5FAE">
              <w:rPr>
                <w:sz w:val="22"/>
                <w:szCs w:val="22"/>
                <w:lang w:val="vi-VN"/>
              </w:rPr>
              <w:t>1.6</w:t>
            </w:r>
          </w:p>
          <w:p w:rsidR="006A4775" w:rsidRPr="006D5FAE" w:rsidRDefault="006A4775" w:rsidP="006674DC">
            <w:pPr>
              <w:widowControl w:val="0"/>
              <w:tabs>
                <w:tab w:val="center" w:pos="1620"/>
                <w:tab w:val="center" w:pos="6521"/>
              </w:tabs>
              <w:jc w:val="center"/>
              <w:outlineLvl w:val="1"/>
              <w:rPr>
                <w:lang w:val="vi-VN"/>
              </w:rPr>
            </w:pPr>
            <w:r w:rsidRPr="006D5FAE">
              <w:rPr>
                <w:sz w:val="22"/>
                <w:szCs w:val="22"/>
                <w:lang w:val="vi-VN"/>
              </w:rPr>
              <w:t>1.7</w:t>
            </w:r>
          </w:p>
        </w:tc>
        <w:tc>
          <w:tcPr>
            <w:tcW w:w="5940"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jc w:val="both"/>
              <w:rPr>
                <w:b/>
                <w:lang w:val="vi-VN"/>
              </w:rPr>
            </w:pPr>
            <w:r w:rsidRPr="006D5FAE">
              <w:rPr>
                <w:b/>
                <w:sz w:val="22"/>
                <w:szCs w:val="22"/>
                <w:lang w:val="vi-VN"/>
              </w:rPr>
              <w:t>Tài sản thương hiệu dựa vào khách hàng</w:t>
            </w:r>
          </w:p>
          <w:p w:rsidR="006A4775" w:rsidRPr="006D5FAE" w:rsidRDefault="006A4775" w:rsidP="00534ECD">
            <w:pPr>
              <w:widowControl w:val="0"/>
              <w:jc w:val="both"/>
              <w:rPr>
                <w:lang w:val="vi-VN"/>
              </w:rPr>
            </w:pPr>
            <w:r w:rsidRPr="006D5FAE">
              <w:rPr>
                <w:sz w:val="22"/>
                <w:szCs w:val="22"/>
                <w:lang w:val="vi-VN"/>
              </w:rPr>
              <w:t>Các khía cạnh kiến thức thương hiệu</w:t>
            </w:r>
          </w:p>
          <w:p w:rsidR="006A4775" w:rsidRPr="006D5FAE" w:rsidRDefault="006A4775" w:rsidP="00534ECD">
            <w:pPr>
              <w:widowControl w:val="0"/>
              <w:jc w:val="both"/>
              <w:rPr>
                <w:lang w:val="vi-VN"/>
              </w:rPr>
            </w:pPr>
            <w:r w:rsidRPr="006D5FAE">
              <w:rPr>
                <w:sz w:val="22"/>
                <w:szCs w:val="22"/>
                <w:lang w:val="vi-VN"/>
              </w:rPr>
              <w:t>Mối quan hệ thương hiệu doanh nghiệp và thương hiệu sản phẩm</w:t>
            </w:r>
          </w:p>
          <w:p w:rsidR="006A4775" w:rsidRPr="006D5FAE" w:rsidRDefault="006A4775" w:rsidP="00534ECD">
            <w:pPr>
              <w:widowControl w:val="0"/>
              <w:jc w:val="both"/>
              <w:rPr>
                <w:lang w:val="vi-VN"/>
              </w:rPr>
            </w:pPr>
            <w:r w:rsidRPr="006D5FAE">
              <w:rPr>
                <w:sz w:val="22"/>
                <w:szCs w:val="22"/>
                <w:lang w:val="vi-VN"/>
              </w:rPr>
              <w:t>Cấu trúc giá trị thương hiệu: chức năng và cảm xúc</w:t>
            </w:r>
          </w:p>
          <w:p w:rsidR="006A4775" w:rsidRPr="006D5FAE" w:rsidRDefault="006A4775" w:rsidP="00534ECD">
            <w:pPr>
              <w:widowControl w:val="0"/>
              <w:jc w:val="both"/>
              <w:rPr>
                <w:lang w:val="vi-VN"/>
              </w:rPr>
            </w:pPr>
            <w:r w:rsidRPr="006D5FAE">
              <w:rPr>
                <w:sz w:val="22"/>
                <w:szCs w:val="22"/>
                <w:lang w:val="vi-VN"/>
              </w:rPr>
              <w:t>Đo lường tài sản thương hiệu sản phẩm</w:t>
            </w:r>
          </w:p>
          <w:p w:rsidR="006A4775" w:rsidRPr="006D5FAE" w:rsidRDefault="006A4775" w:rsidP="00534ECD">
            <w:pPr>
              <w:widowControl w:val="0"/>
              <w:jc w:val="both"/>
              <w:rPr>
                <w:lang w:val="vi-VN"/>
              </w:rPr>
            </w:pPr>
            <w:r w:rsidRPr="006D5FAE">
              <w:rPr>
                <w:sz w:val="22"/>
                <w:szCs w:val="22"/>
                <w:lang w:val="vi-VN"/>
              </w:rPr>
              <w:t>Đo lường tài sản thương hiệu bán lẻ</w:t>
            </w:r>
          </w:p>
          <w:p w:rsidR="006A4775" w:rsidRPr="006D5FAE" w:rsidRDefault="006A4775" w:rsidP="00534ECD">
            <w:pPr>
              <w:widowControl w:val="0"/>
              <w:jc w:val="both"/>
              <w:rPr>
                <w:lang w:val="vi-VN"/>
              </w:rPr>
            </w:pPr>
            <w:r w:rsidRPr="006D5FAE">
              <w:rPr>
                <w:sz w:val="22"/>
                <w:szCs w:val="22"/>
                <w:lang w:val="vi-VN"/>
              </w:rPr>
              <w:t>Đo lường tài sản thương hiệu nhà hàng</w:t>
            </w:r>
          </w:p>
          <w:p w:rsidR="006A4775" w:rsidRPr="006D5FAE" w:rsidRDefault="006A4775" w:rsidP="00534ECD">
            <w:pPr>
              <w:widowControl w:val="0"/>
              <w:jc w:val="both"/>
              <w:rPr>
                <w:lang w:val="vi-VN"/>
              </w:rPr>
            </w:pPr>
            <w:r w:rsidRPr="006D5FAE">
              <w:rPr>
                <w:sz w:val="22"/>
                <w:szCs w:val="22"/>
                <w:lang w:val="vi-VN"/>
              </w:rPr>
              <w:t>Xếp hạng thương hiệu khách sạn</w:t>
            </w:r>
          </w:p>
        </w:tc>
        <w:tc>
          <w:tcPr>
            <w:tcW w:w="1367"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ind w:left="34"/>
              <w:jc w:val="center"/>
              <w:rPr>
                <w:lang w:val="vi-VN"/>
              </w:rPr>
            </w:pPr>
            <w:r w:rsidRPr="006D5FAE">
              <w:rPr>
                <w:sz w:val="22"/>
                <w:szCs w:val="22"/>
                <w:lang w:val="vi-VN"/>
              </w:rPr>
              <w:t>1, 2</w:t>
            </w:r>
          </w:p>
        </w:tc>
        <w:tc>
          <w:tcPr>
            <w:tcW w:w="805"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ind w:left="34"/>
              <w:jc w:val="center"/>
              <w:rPr>
                <w:bCs/>
                <w:lang w:val="vi-VN"/>
              </w:rPr>
            </w:pPr>
            <w:r w:rsidRPr="006D5FAE">
              <w:rPr>
                <w:bCs/>
                <w:sz w:val="22"/>
                <w:szCs w:val="22"/>
                <w:lang w:val="vi-VN"/>
              </w:rPr>
              <w:t>8</w:t>
            </w:r>
          </w:p>
        </w:tc>
        <w:tc>
          <w:tcPr>
            <w:tcW w:w="654"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ind w:left="34"/>
              <w:jc w:val="center"/>
              <w:rPr>
                <w:bCs/>
                <w:lang w:val="vi-VN"/>
              </w:rPr>
            </w:pPr>
            <w:r w:rsidRPr="006D5FAE">
              <w:rPr>
                <w:bCs/>
                <w:sz w:val="22"/>
                <w:szCs w:val="22"/>
                <w:lang w:val="vi-VN"/>
              </w:rPr>
              <w:t>2</w:t>
            </w:r>
          </w:p>
        </w:tc>
      </w:tr>
      <w:tr w:rsidR="006A4775" w:rsidRPr="006D5FAE">
        <w:tc>
          <w:tcPr>
            <w:tcW w:w="746" w:type="dxa"/>
            <w:tcBorders>
              <w:top w:val="single" w:sz="4" w:space="0" w:color="auto"/>
              <w:left w:val="single" w:sz="4" w:space="0" w:color="auto"/>
              <w:bottom w:val="single" w:sz="4" w:space="0" w:color="auto"/>
              <w:right w:val="single" w:sz="4" w:space="0" w:color="auto"/>
            </w:tcBorders>
          </w:tcPr>
          <w:p w:rsidR="006A4775" w:rsidRPr="006D5FAE" w:rsidRDefault="006A4775" w:rsidP="006674DC">
            <w:pPr>
              <w:widowControl w:val="0"/>
              <w:tabs>
                <w:tab w:val="center" w:pos="1620"/>
                <w:tab w:val="center" w:pos="6521"/>
              </w:tabs>
              <w:jc w:val="center"/>
              <w:outlineLvl w:val="1"/>
              <w:rPr>
                <w:b/>
                <w:lang w:val="vi-VN"/>
              </w:rPr>
            </w:pPr>
            <w:r w:rsidRPr="006D5FAE">
              <w:rPr>
                <w:b/>
                <w:sz w:val="22"/>
                <w:szCs w:val="22"/>
                <w:lang w:val="vi-VN"/>
              </w:rPr>
              <w:t>2.</w:t>
            </w:r>
          </w:p>
          <w:p w:rsidR="006A4775" w:rsidRPr="006D5FAE" w:rsidRDefault="006A4775" w:rsidP="006674DC">
            <w:pPr>
              <w:widowControl w:val="0"/>
              <w:tabs>
                <w:tab w:val="center" w:pos="1620"/>
                <w:tab w:val="center" w:pos="6521"/>
              </w:tabs>
              <w:jc w:val="center"/>
              <w:outlineLvl w:val="1"/>
              <w:rPr>
                <w:lang w:val="vi-VN"/>
              </w:rPr>
            </w:pPr>
            <w:r w:rsidRPr="006D5FAE">
              <w:rPr>
                <w:sz w:val="22"/>
                <w:szCs w:val="22"/>
                <w:lang w:val="vi-VN"/>
              </w:rPr>
              <w:t>2.1</w:t>
            </w:r>
          </w:p>
          <w:p w:rsidR="006A4775" w:rsidRPr="006D5FAE" w:rsidRDefault="006A4775" w:rsidP="006674DC">
            <w:pPr>
              <w:widowControl w:val="0"/>
              <w:tabs>
                <w:tab w:val="center" w:pos="1620"/>
                <w:tab w:val="center" w:pos="6521"/>
              </w:tabs>
              <w:jc w:val="center"/>
              <w:outlineLvl w:val="1"/>
              <w:rPr>
                <w:lang w:val="vi-VN"/>
              </w:rPr>
            </w:pPr>
            <w:r w:rsidRPr="006D5FAE">
              <w:rPr>
                <w:sz w:val="22"/>
                <w:szCs w:val="22"/>
                <w:lang w:val="vi-VN"/>
              </w:rPr>
              <w:t>2.2</w:t>
            </w:r>
          </w:p>
          <w:p w:rsidR="006A4775" w:rsidRPr="006D5FAE" w:rsidRDefault="006A4775" w:rsidP="006674DC">
            <w:pPr>
              <w:widowControl w:val="0"/>
              <w:tabs>
                <w:tab w:val="center" w:pos="1620"/>
                <w:tab w:val="center" w:pos="6521"/>
              </w:tabs>
              <w:jc w:val="center"/>
              <w:outlineLvl w:val="1"/>
              <w:rPr>
                <w:lang w:val="vi-VN"/>
              </w:rPr>
            </w:pPr>
            <w:r w:rsidRPr="006D5FAE">
              <w:rPr>
                <w:sz w:val="22"/>
                <w:szCs w:val="22"/>
                <w:lang w:val="vi-VN"/>
              </w:rPr>
              <w:t>2.3</w:t>
            </w:r>
          </w:p>
          <w:p w:rsidR="006A4775" w:rsidRPr="006D5FAE" w:rsidRDefault="006A4775" w:rsidP="006674DC">
            <w:pPr>
              <w:widowControl w:val="0"/>
              <w:tabs>
                <w:tab w:val="center" w:pos="1620"/>
                <w:tab w:val="center" w:pos="6521"/>
              </w:tabs>
              <w:jc w:val="center"/>
              <w:outlineLvl w:val="1"/>
              <w:rPr>
                <w:lang w:val="vi-VN"/>
              </w:rPr>
            </w:pPr>
            <w:r w:rsidRPr="006D5FAE">
              <w:rPr>
                <w:sz w:val="22"/>
                <w:szCs w:val="22"/>
                <w:lang w:val="vi-VN"/>
              </w:rPr>
              <w:t>2.4</w:t>
            </w:r>
          </w:p>
        </w:tc>
        <w:tc>
          <w:tcPr>
            <w:tcW w:w="5940"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jc w:val="both"/>
              <w:rPr>
                <w:b/>
                <w:lang w:val="vi-VN"/>
              </w:rPr>
            </w:pPr>
            <w:r w:rsidRPr="006D5FAE">
              <w:rPr>
                <w:b/>
                <w:sz w:val="22"/>
                <w:szCs w:val="22"/>
                <w:lang w:val="vi-VN"/>
              </w:rPr>
              <w:t>Xây dựng tài sản thương hiệu dựa vào khách hàng</w:t>
            </w:r>
          </w:p>
          <w:p w:rsidR="006A4775" w:rsidRPr="006D5FAE" w:rsidRDefault="006A4775" w:rsidP="00534ECD">
            <w:pPr>
              <w:widowControl w:val="0"/>
              <w:jc w:val="both"/>
              <w:rPr>
                <w:lang w:val="vi-VN"/>
              </w:rPr>
            </w:pPr>
            <w:r w:rsidRPr="006D5FAE">
              <w:rPr>
                <w:sz w:val="22"/>
                <w:szCs w:val="22"/>
                <w:lang w:val="vi-VN"/>
              </w:rPr>
              <w:t>Mô hình kim tự tháp xây dựng thương hiệu mạnh</w:t>
            </w:r>
          </w:p>
          <w:p w:rsidR="006A4775" w:rsidRPr="006D5FAE" w:rsidRDefault="006A4775" w:rsidP="00534ECD">
            <w:pPr>
              <w:widowControl w:val="0"/>
              <w:jc w:val="both"/>
              <w:rPr>
                <w:lang w:val="vi-VN"/>
              </w:rPr>
            </w:pPr>
            <w:r w:rsidRPr="006D5FAE">
              <w:rPr>
                <w:sz w:val="22"/>
                <w:szCs w:val="22"/>
                <w:lang w:val="vi-VN"/>
              </w:rPr>
              <w:t>Chiến lược xây dựng và phát triển khái niệm thương hiệu</w:t>
            </w:r>
          </w:p>
          <w:p w:rsidR="006A4775" w:rsidRPr="006D5FAE" w:rsidRDefault="006A4775" w:rsidP="00534ECD">
            <w:pPr>
              <w:widowControl w:val="0"/>
              <w:jc w:val="both"/>
              <w:rPr>
                <w:lang w:val="vi-VN"/>
              </w:rPr>
            </w:pPr>
            <w:r w:rsidRPr="006D5FAE">
              <w:rPr>
                <w:sz w:val="22"/>
                <w:szCs w:val="22"/>
                <w:lang w:val="vi-VN"/>
              </w:rPr>
              <w:t>Chiến lược đồng thương hiệu</w:t>
            </w:r>
          </w:p>
          <w:p w:rsidR="006A4775" w:rsidRPr="006D5FAE" w:rsidRDefault="006A4775" w:rsidP="00534ECD">
            <w:pPr>
              <w:widowControl w:val="0"/>
              <w:jc w:val="both"/>
              <w:rPr>
                <w:lang w:val="vi-VN"/>
              </w:rPr>
            </w:pPr>
            <w:r w:rsidRPr="006D5FAE">
              <w:rPr>
                <w:sz w:val="22"/>
                <w:szCs w:val="22"/>
                <w:lang w:val="vi-VN"/>
              </w:rPr>
              <w:t>Chiến lược mở rộng thương hiệu</w:t>
            </w:r>
          </w:p>
        </w:tc>
        <w:tc>
          <w:tcPr>
            <w:tcW w:w="1367"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jc w:val="center"/>
              <w:rPr>
                <w:lang w:val="vi-VN"/>
              </w:rPr>
            </w:pPr>
            <w:r w:rsidRPr="006D5FAE">
              <w:rPr>
                <w:sz w:val="22"/>
                <w:szCs w:val="22"/>
                <w:lang w:val="vi-VN"/>
              </w:rPr>
              <w:t>3</w:t>
            </w:r>
          </w:p>
        </w:tc>
        <w:tc>
          <w:tcPr>
            <w:tcW w:w="805"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ind w:left="34"/>
              <w:jc w:val="center"/>
              <w:rPr>
                <w:bCs/>
                <w:lang w:val="vi-VN"/>
              </w:rPr>
            </w:pPr>
            <w:r w:rsidRPr="006D5FAE">
              <w:rPr>
                <w:bCs/>
                <w:sz w:val="22"/>
                <w:szCs w:val="22"/>
                <w:lang w:val="vi-VN"/>
              </w:rPr>
              <w:t>8</w:t>
            </w:r>
          </w:p>
        </w:tc>
        <w:tc>
          <w:tcPr>
            <w:tcW w:w="654"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ind w:left="34"/>
              <w:jc w:val="center"/>
              <w:rPr>
                <w:bCs/>
                <w:lang w:val="vi-VN"/>
              </w:rPr>
            </w:pPr>
            <w:r w:rsidRPr="006D5FAE">
              <w:rPr>
                <w:bCs/>
                <w:sz w:val="22"/>
                <w:szCs w:val="22"/>
                <w:lang w:val="vi-VN"/>
              </w:rPr>
              <w:t>0</w:t>
            </w:r>
          </w:p>
        </w:tc>
      </w:tr>
      <w:tr w:rsidR="006A4775" w:rsidRPr="006D5FAE">
        <w:tc>
          <w:tcPr>
            <w:tcW w:w="746" w:type="dxa"/>
            <w:tcBorders>
              <w:top w:val="single" w:sz="4" w:space="0" w:color="auto"/>
              <w:left w:val="single" w:sz="4" w:space="0" w:color="auto"/>
              <w:bottom w:val="single" w:sz="4" w:space="0" w:color="auto"/>
              <w:right w:val="single" w:sz="4" w:space="0" w:color="auto"/>
            </w:tcBorders>
          </w:tcPr>
          <w:p w:rsidR="006A4775" w:rsidRPr="006D5FAE" w:rsidRDefault="006A4775" w:rsidP="006674DC">
            <w:pPr>
              <w:widowControl w:val="0"/>
              <w:tabs>
                <w:tab w:val="center" w:pos="1620"/>
                <w:tab w:val="center" w:pos="6521"/>
              </w:tabs>
              <w:jc w:val="center"/>
              <w:outlineLvl w:val="1"/>
              <w:rPr>
                <w:b/>
                <w:bCs/>
                <w:iCs/>
                <w:lang w:val="vi-VN"/>
              </w:rPr>
            </w:pPr>
            <w:r w:rsidRPr="006D5FAE">
              <w:rPr>
                <w:b/>
                <w:bCs/>
                <w:iCs/>
                <w:sz w:val="22"/>
                <w:szCs w:val="22"/>
                <w:lang w:val="vi-VN"/>
              </w:rPr>
              <w:t>3.</w:t>
            </w:r>
          </w:p>
          <w:p w:rsidR="006A4775" w:rsidRPr="006D5FAE" w:rsidRDefault="006A4775" w:rsidP="006674DC">
            <w:pPr>
              <w:widowControl w:val="0"/>
              <w:tabs>
                <w:tab w:val="center" w:pos="1620"/>
                <w:tab w:val="center" w:pos="6521"/>
              </w:tabs>
              <w:jc w:val="center"/>
              <w:outlineLvl w:val="1"/>
              <w:rPr>
                <w:bCs/>
                <w:iCs/>
                <w:lang w:val="vi-VN"/>
              </w:rPr>
            </w:pPr>
            <w:r w:rsidRPr="006D5FAE">
              <w:rPr>
                <w:bCs/>
                <w:iCs/>
                <w:sz w:val="22"/>
                <w:szCs w:val="22"/>
                <w:lang w:val="vi-VN"/>
              </w:rPr>
              <w:t>3.1</w:t>
            </w:r>
          </w:p>
          <w:p w:rsidR="006A4775" w:rsidRPr="006D5FAE" w:rsidRDefault="006A4775" w:rsidP="006674DC">
            <w:pPr>
              <w:widowControl w:val="0"/>
              <w:tabs>
                <w:tab w:val="center" w:pos="1620"/>
                <w:tab w:val="center" w:pos="6521"/>
              </w:tabs>
              <w:jc w:val="center"/>
              <w:outlineLvl w:val="1"/>
              <w:rPr>
                <w:lang w:val="vi-VN"/>
              </w:rPr>
            </w:pPr>
            <w:r w:rsidRPr="006D5FAE">
              <w:rPr>
                <w:bCs/>
                <w:iCs/>
                <w:sz w:val="22"/>
                <w:szCs w:val="22"/>
                <w:lang w:val="vi-VN"/>
              </w:rPr>
              <w:t>3.2</w:t>
            </w:r>
          </w:p>
        </w:tc>
        <w:tc>
          <w:tcPr>
            <w:tcW w:w="5940"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jc w:val="both"/>
              <w:rPr>
                <w:b/>
                <w:lang w:val="vi-VN"/>
              </w:rPr>
            </w:pPr>
            <w:r w:rsidRPr="006D5FAE">
              <w:rPr>
                <w:b/>
                <w:sz w:val="22"/>
                <w:szCs w:val="22"/>
                <w:lang w:val="vi-VN"/>
              </w:rPr>
              <w:t>Nguyên nhân và kết cục của tài sản thương hiệu</w:t>
            </w:r>
          </w:p>
          <w:p w:rsidR="006A4775" w:rsidRPr="006D5FAE" w:rsidRDefault="006A4775" w:rsidP="00534ECD">
            <w:pPr>
              <w:widowControl w:val="0"/>
              <w:jc w:val="both"/>
              <w:rPr>
                <w:lang w:val="vi-VN"/>
              </w:rPr>
            </w:pPr>
            <w:r w:rsidRPr="006D5FAE">
              <w:rPr>
                <w:sz w:val="22"/>
                <w:szCs w:val="22"/>
                <w:lang w:val="vi-VN"/>
              </w:rPr>
              <w:t>Các nhân tố ảnh hưởng đến hình thành tài sản thương hiệu</w:t>
            </w:r>
          </w:p>
          <w:p w:rsidR="006A4775" w:rsidRPr="006D5FAE" w:rsidRDefault="006A4775" w:rsidP="00534ECD">
            <w:pPr>
              <w:widowControl w:val="0"/>
              <w:jc w:val="both"/>
              <w:rPr>
                <w:lang w:val="vi-VN"/>
              </w:rPr>
            </w:pPr>
            <w:r w:rsidRPr="006D5FAE">
              <w:rPr>
                <w:sz w:val="22"/>
                <w:szCs w:val="22"/>
                <w:lang w:val="vi-VN"/>
              </w:rPr>
              <w:t>Ảnh hưởng của tài sản thương hiệu đến hành vi khách hàng</w:t>
            </w:r>
          </w:p>
        </w:tc>
        <w:tc>
          <w:tcPr>
            <w:tcW w:w="1367"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jc w:val="center"/>
              <w:rPr>
                <w:lang w:val="vi-VN"/>
              </w:rPr>
            </w:pPr>
            <w:r w:rsidRPr="006D5FAE">
              <w:rPr>
                <w:sz w:val="22"/>
                <w:szCs w:val="22"/>
                <w:lang w:val="vi-VN"/>
              </w:rPr>
              <w:t>4</w:t>
            </w:r>
          </w:p>
        </w:tc>
        <w:tc>
          <w:tcPr>
            <w:tcW w:w="805"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ind w:left="34"/>
              <w:jc w:val="center"/>
              <w:rPr>
                <w:bCs/>
                <w:lang w:val="vi-VN"/>
              </w:rPr>
            </w:pPr>
            <w:r w:rsidRPr="006D5FAE">
              <w:rPr>
                <w:bCs/>
                <w:sz w:val="22"/>
                <w:szCs w:val="22"/>
                <w:lang w:val="vi-VN"/>
              </w:rPr>
              <w:t>2</w:t>
            </w:r>
          </w:p>
        </w:tc>
        <w:tc>
          <w:tcPr>
            <w:tcW w:w="654"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ind w:left="34"/>
              <w:jc w:val="center"/>
              <w:rPr>
                <w:bCs/>
                <w:lang w:val="vi-VN"/>
              </w:rPr>
            </w:pPr>
            <w:r w:rsidRPr="006D5FAE">
              <w:rPr>
                <w:bCs/>
                <w:sz w:val="22"/>
                <w:szCs w:val="22"/>
                <w:lang w:val="vi-VN"/>
              </w:rPr>
              <w:t>1</w:t>
            </w:r>
          </w:p>
        </w:tc>
      </w:tr>
      <w:tr w:rsidR="006A4775" w:rsidRPr="006D5FAE">
        <w:tc>
          <w:tcPr>
            <w:tcW w:w="746" w:type="dxa"/>
            <w:tcBorders>
              <w:top w:val="single" w:sz="4" w:space="0" w:color="auto"/>
              <w:left w:val="single" w:sz="4" w:space="0" w:color="auto"/>
              <w:bottom w:val="single" w:sz="4" w:space="0" w:color="auto"/>
              <w:right w:val="single" w:sz="4" w:space="0" w:color="auto"/>
            </w:tcBorders>
          </w:tcPr>
          <w:p w:rsidR="006A4775" w:rsidRPr="006D5FAE" w:rsidRDefault="006A4775" w:rsidP="006674DC">
            <w:pPr>
              <w:widowControl w:val="0"/>
              <w:tabs>
                <w:tab w:val="center" w:pos="1620"/>
                <w:tab w:val="center" w:pos="6521"/>
              </w:tabs>
              <w:jc w:val="center"/>
              <w:outlineLvl w:val="1"/>
              <w:rPr>
                <w:b/>
                <w:bCs/>
                <w:iCs/>
                <w:lang w:val="en-GB"/>
              </w:rPr>
            </w:pPr>
            <w:r w:rsidRPr="006D5FAE">
              <w:rPr>
                <w:b/>
                <w:bCs/>
                <w:iCs/>
                <w:sz w:val="22"/>
                <w:szCs w:val="22"/>
                <w:lang w:val="vi-VN"/>
              </w:rPr>
              <w:t>4</w:t>
            </w:r>
            <w:r w:rsidRPr="006D5FAE">
              <w:rPr>
                <w:b/>
                <w:bCs/>
                <w:iCs/>
                <w:sz w:val="22"/>
                <w:szCs w:val="22"/>
                <w:lang w:val="en-GB"/>
              </w:rPr>
              <w:t>.</w:t>
            </w:r>
          </w:p>
          <w:p w:rsidR="006A4775" w:rsidRPr="006D5FAE" w:rsidRDefault="006A4775" w:rsidP="006674DC">
            <w:pPr>
              <w:widowControl w:val="0"/>
              <w:tabs>
                <w:tab w:val="center" w:pos="1620"/>
                <w:tab w:val="center" w:pos="6521"/>
              </w:tabs>
              <w:jc w:val="center"/>
              <w:outlineLvl w:val="1"/>
              <w:rPr>
                <w:bCs/>
                <w:iCs/>
                <w:lang w:val="vi-VN"/>
              </w:rPr>
            </w:pPr>
            <w:r w:rsidRPr="006D5FAE">
              <w:rPr>
                <w:bCs/>
                <w:iCs/>
                <w:sz w:val="22"/>
                <w:szCs w:val="22"/>
                <w:lang w:val="vi-VN"/>
              </w:rPr>
              <w:t>4.1</w:t>
            </w:r>
          </w:p>
          <w:p w:rsidR="006A4775" w:rsidRPr="006D5FAE" w:rsidRDefault="006A4775" w:rsidP="006674DC">
            <w:pPr>
              <w:widowControl w:val="0"/>
              <w:tabs>
                <w:tab w:val="center" w:pos="1620"/>
                <w:tab w:val="center" w:pos="6521"/>
              </w:tabs>
              <w:jc w:val="center"/>
              <w:outlineLvl w:val="1"/>
              <w:rPr>
                <w:bCs/>
                <w:iCs/>
                <w:lang w:val="vi-VN"/>
              </w:rPr>
            </w:pPr>
            <w:r w:rsidRPr="006D5FAE">
              <w:rPr>
                <w:bCs/>
                <w:iCs/>
                <w:sz w:val="22"/>
                <w:szCs w:val="22"/>
                <w:lang w:val="vi-VN"/>
              </w:rPr>
              <w:t>4.2</w:t>
            </w:r>
          </w:p>
          <w:p w:rsidR="006A4775" w:rsidRPr="006D5FAE" w:rsidRDefault="006A4775" w:rsidP="006674DC">
            <w:pPr>
              <w:widowControl w:val="0"/>
              <w:tabs>
                <w:tab w:val="center" w:pos="1620"/>
                <w:tab w:val="center" w:pos="6521"/>
              </w:tabs>
              <w:jc w:val="center"/>
              <w:outlineLvl w:val="1"/>
              <w:rPr>
                <w:bCs/>
                <w:iCs/>
                <w:lang w:val="vi-VN"/>
              </w:rPr>
            </w:pPr>
            <w:r w:rsidRPr="006D5FAE">
              <w:rPr>
                <w:bCs/>
                <w:iCs/>
                <w:sz w:val="22"/>
                <w:szCs w:val="22"/>
                <w:lang w:val="vi-VN"/>
              </w:rPr>
              <w:t>4.3</w:t>
            </w:r>
          </w:p>
          <w:p w:rsidR="006A4775" w:rsidRPr="006D5FAE" w:rsidRDefault="006A4775" w:rsidP="006674DC">
            <w:pPr>
              <w:widowControl w:val="0"/>
              <w:tabs>
                <w:tab w:val="center" w:pos="1620"/>
                <w:tab w:val="center" w:pos="6521"/>
              </w:tabs>
              <w:jc w:val="center"/>
              <w:outlineLvl w:val="1"/>
              <w:rPr>
                <w:bCs/>
                <w:iCs/>
                <w:lang w:val="vi-VN"/>
              </w:rPr>
            </w:pPr>
            <w:r w:rsidRPr="006D5FAE">
              <w:rPr>
                <w:bCs/>
                <w:iCs/>
                <w:sz w:val="22"/>
                <w:szCs w:val="22"/>
                <w:lang w:val="vi-VN"/>
              </w:rPr>
              <w:t>4.4</w:t>
            </w:r>
          </w:p>
        </w:tc>
        <w:tc>
          <w:tcPr>
            <w:tcW w:w="5940"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jc w:val="both"/>
              <w:rPr>
                <w:b/>
                <w:lang w:val="vi-VN"/>
              </w:rPr>
            </w:pPr>
            <w:r w:rsidRPr="006D5FAE">
              <w:rPr>
                <w:b/>
                <w:sz w:val="22"/>
                <w:szCs w:val="22"/>
                <w:lang w:val="vi-VN"/>
              </w:rPr>
              <w:t>Chất lượng cảm nhận</w:t>
            </w:r>
          </w:p>
          <w:p w:rsidR="006A4775" w:rsidRPr="006D5FAE" w:rsidRDefault="006A4775" w:rsidP="00534ECD">
            <w:pPr>
              <w:widowControl w:val="0"/>
              <w:jc w:val="both"/>
              <w:rPr>
                <w:lang w:val="vi-VN"/>
              </w:rPr>
            </w:pPr>
            <w:r w:rsidRPr="006D5FAE">
              <w:rPr>
                <w:sz w:val="22"/>
                <w:szCs w:val="22"/>
                <w:lang w:val="vi-VN"/>
              </w:rPr>
              <w:t>Các yếu tố của chất lượng cảm nhận</w:t>
            </w:r>
          </w:p>
          <w:p w:rsidR="006A4775" w:rsidRPr="006D5FAE" w:rsidRDefault="006A4775" w:rsidP="00534ECD">
            <w:pPr>
              <w:widowControl w:val="0"/>
              <w:jc w:val="both"/>
              <w:rPr>
                <w:lang w:val="vi-VN"/>
              </w:rPr>
            </w:pPr>
            <w:r w:rsidRPr="006D5FAE">
              <w:rPr>
                <w:sz w:val="22"/>
                <w:szCs w:val="22"/>
                <w:lang w:val="vi-VN"/>
              </w:rPr>
              <w:t>Mô hình quá trình cảm nhận chất lượng</w:t>
            </w:r>
          </w:p>
          <w:p w:rsidR="006A4775" w:rsidRPr="006D5FAE" w:rsidRDefault="006A4775" w:rsidP="00534ECD">
            <w:pPr>
              <w:widowControl w:val="0"/>
              <w:jc w:val="both"/>
              <w:rPr>
                <w:lang w:val="vi-VN"/>
              </w:rPr>
            </w:pPr>
            <w:r w:rsidRPr="006D5FAE">
              <w:rPr>
                <w:sz w:val="22"/>
                <w:szCs w:val="22"/>
                <w:lang w:val="vi-VN"/>
              </w:rPr>
              <w:t>Mô hình quản trị chất lượng đồng bộ</w:t>
            </w:r>
          </w:p>
          <w:p w:rsidR="006A4775" w:rsidRPr="006D5FAE" w:rsidRDefault="006A4775" w:rsidP="00534ECD">
            <w:pPr>
              <w:widowControl w:val="0"/>
              <w:jc w:val="both"/>
              <w:rPr>
                <w:lang w:val="vi-VN"/>
              </w:rPr>
            </w:pPr>
            <w:r w:rsidRPr="006D5FAE">
              <w:rPr>
                <w:sz w:val="22"/>
                <w:szCs w:val="22"/>
                <w:lang w:val="vi-VN"/>
              </w:rPr>
              <w:t>Đo lường chất lượng cảm nhận</w:t>
            </w:r>
          </w:p>
        </w:tc>
        <w:tc>
          <w:tcPr>
            <w:tcW w:w="1367"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jc w:val="center"/>
              <w:rPr>
                <w:lang w:val="vi-VN"/>
              </w:rPr>
            </w:pPr>
            <w:r w:rsidRPr="006D5FAE">
              <w:rPr>
                <w:sz w:val="22"/>
                <w:szCs w:val="22"/>
                <w:lang w:val="vi-VN"/>
              </w:rPr>
              <w:t>5</w:t>
            </w:r>
          </w:p>
        </w:tc>
        <w:tc>
          <w:tcPr>
            <w:tcW w:w="805"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ind w:left="34"/>
              <w:jc w:val="center"/>
              <w:rPr>
                <w:bCs/>
                <w:lang w:val="vi-VN"/>
              </w:rPr>
            </w:pPr>
            <w:r w:rsidRPr="006D5FAE">
              <w:rPr>
                <w:bCs/>
                <w:sz w:val="22"/>
                <w:szCs w:val="22"/>
                <w:lang w:val="vi-VN"/>
              </w:rPr>
              <w:t>2</w:t>
            </w:r>
          </w:p>
        </w:tc>
        <w:tc>
          <w:tcPr>
            <w:tcW w:w="654"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ind w:left="34"/>
              <w:jc w:val="center"/>
              <w:rPr>
                <w:bCs/>
                <w:lang w:val="vi-VN"/>
              </w:rPr>
            </w:pPr>
            <w:r w:rsidRPr="006D5FAE">
              <w:rPr>
                <w:bCs/>
                <w:sz w:val="22"/>
                <w:szCs w:val="22"/>
                <w:lang w:val="vi-VN"/>
              </w:rPr>
              <w:t>1</w:t>
            </w:r>
          </w:p>
        </w:tc>
      </w:tr>
      <w:tr w:rsidR="006A4775" w:rsidRPr="006D5FAE">
        <w:tc>
          <w:tcPr>
            <w:tcW w:w="746" w:type="dxa"/>
            <w:tcBorders>
              <w:top w:val="single" w:sz="4" w:space="0" w:color="auto"/>
              <w:left w:val="single" w:sz="4" w:space="0" w:color="auto"/>
              <w:bottom w:val="single" w:sz="4" w:space="0" w:color="auto"/>
              <w:right w:val="single" w:sz="4" w:space="0" w:color="auto"/>
            </w:tcBorders>
          </w:tcPr>
          <w:p w:rsidR="006A4775" w:rsidRPr="006D5FAE" w:rsidRDefault="006A4775" w:rsidP="006674DC">
            <w:pPr>
              <w:widowControl w:val="0"/>
              <w:tabs>
                <w:tab w:val="center" w:pos="1620"/>
                <w:tab w:val="center" w:pos="6521"/>
              </w:tabs>
              <w:jc w:val="center"/>
              <w:outlineLvl w:val="1"/>
              <w:rPr>
                <w:b/>
                <w:bCs/>
                <w:iCs/>
                <w:lang w:val="en-GB"/>
              </w:rPr>
            </w:pPr>
            <w:r w:rsidRPr="006D5FAE">
              <w:rPr>
                <w:b/>
                <w:bCs/>
                <w:iCs/>
                <w:sz w:val="22"/>
                <w:szCs w:val="22"/>
                <w:lang w:val="vi-VN"/>
              </w:rPr>
              <w:t>5</w:t>
            </w:r>
            <w:r w:rsidRPr="006D5FAE">
              <w:rPr>
                <w:b/>
                <w:bCs/>
                <w:iCs/>
                <w:sz w:val="22"/>
                <w:szCs w:val="22"/>
                <w:lang w:val="en-GB"/>
              </w:rPr>
              <w:t>.</w:t>
            </w:r>
          </w:p>
          <w:p w:rsidR="006A4775" w:rsidRPr="006D5FAE" w:rsidRDefault="006A4775" w:rsidP="006674DC">
            <w:pPr>
              <w:widowControl w:val="0"/>
              <w:tabs>
                <w:tab w:val="center" w:pos="1620"/>
                <w:tab w:val="center" w:pos="6521"/>
              </w:tabs>
              <w:jc w:val="center"/>
              <w:outlineLvl w:val="1"/>
              <w:rPr>
                <w:bCs/>
                <w:iCs/>
                <w:lang w:val="vi-VN"/>
              </w:rPr>
            </w:pPr>
            <w:r w:rsidRPr="006D5FAE">
              <w:rPr>
                <w:bCs/>
                <w:iCs/>
                <w:sz w:val="22"/>
                <w:szCs w:val="22"/>
                <w:lang w:val="vi-VN"/>
              </w:rPr>
              <w:t>5.1</w:t>
            </w:r>
          </w:p>
          <w:p w:rsidR="006A4775" w:rsidRPr="006D5FAE" w:rsidRDefault="006A4775" w:rsidP="006674DC">
            <w:pPr>
              <w:widowControl w:val="0"/>
              <w:tabs>
                <w:tab w:val="center" w:pos="1620"/>
                <w:tab w:val="center" w:pos="6521"/>
              </w:tabs>
              <w:jc w:val="center"/>
              <w:outlineLvl w:val="1"/>
              <w:rPr>
                <w:bCs/>
                <w:iCs/>
                <w:lang w:val="vi-VN"/>
              </w:rPr>
            </w:pPr>
            <w:r w:rsidRPr="006D5FAE">
              <w:rPr>
                <w:bCs/>
                <w:iCs/>
                <w:sz w:val="22"/>
                <w:szCs w:val="22"/>
                <w:lang w:val="vi-VN"/>
              </w:rPr>
              <w:t>5.2</w:t>
            </w:r>
          </w:p>
          <w:p w:rsidR="006A4775" w:rsidRPr="006D5FAE" w:rsidRDefault="006A4775" w:rsidP="006674DC">
            <w:pPr>
              <w:widowControl w:val="0"/>
              <w:tabs>
                <w:tab w:val="center" w:pos="1620"/>
                <w:tab w:val="center" w:pos="6521"/>
              </w:tabs>
              <w:jc w:val="center"/>
              <w:outlineLvl w:val="1"/>
              <w:rPr>
                <w:bCs/>
                <w:iCs/>
                <w:lang w:val="vi-VN"/>
              </w:rPr>
            </w:pPr>
            <w:r w:rsidRPr="006D5FAE">
              <w:rPr>
                <w:bCs/>
                <w:iCs/>
                <w:sz w:val="22"/>
                <w:szCs w:val="22"/>
                <w:lang w:val="vi-VN"/>
              </w:rPr>
              <w:t>5.3</w:t>
            </w:r>
          </w:p>
          <w:p w:rsidR="006A4775" w:rsidRPr="006D5FAE" w:rsidRDefault="006A4775" w:rsidP="006674DC">
            <w:pPr>
              <w:widowControl w:val="0"/>
              <w:tabs>
                <w:tab w:val="center" w:pos="1620"/>
                <w:tab w:val="center" w:pos="6521"/>
              </w:tabs>
              <w:jc w:val="center"/>
              <w:outlineLvl w:val="1"/>
              <w:rPr>
                <w:bCs/>
                <w:iCs/>
                <w:lang w:val="vi-VN"/>
              </w:rPr>
            </w:pPr>
          </w:p>
        </w:tc>
        <w:tc>
          <w:tcPr>
            <w:tcW w:w="5940"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jc w:val="both"/>
              <w:rPr>
                <w:b/>
                <w:lang w:val="vi-VN"/>
              </w:rPr>
            </w:pPr>
            <w:r w:rsidRPr="006D5FAE">
              <w:rPr>
                <w:b/>
                <w:sz w:val="22"/>
                <w:szCs w:val="22"/>
                <w:lang w:val="vi-VN"/>
              </w:rPr>
              <w:t>Cá tính/</w:t>
            </w:r>
            <w:r w:rsidRPr="000923A3">
              <w:rPr>
                <w:b/>
                <w:sz w:val="22"/>
                <w:szCs w:val="22"/>
                <w:lang w:val="vi-VN"/>
              </w:rPr>
              <w:t xml:space="preserve"> </w:t>
            </w:r>
            <w:r w:rsidRPr="006D5FAE">
              <w:rPr>
                <w:b/>
                <w:sz w:val="22"/>
                <w:szCs w:val="22"/>
                <w:lang w:val="vi-VN"/>
              </w:rPr>
              <w:t>nhân cách thương hiệu</w:t>
            </w:r>
          </w:p>
          <w:p w:rsidR="006A4775" w:rsidRPr="006D5FAE" w:rsidRDefault="006A4775" w:rsidP="00534ECD">
            <w:pPr>
              <w:widowControl w:val="0"/>
              <w:jc w:val="both"/>
              <w:rPr>
                <w:lang w:val="vi-VN"/>
              </w:rPr>
            </w:pPr>
            <w:r w:rsidRPr="006D5FAE">
              <w:rPr>
                <w:sz w:val="22"/>
                <w:szCs w:val="22"/>
                <w:lang w:val="vi-VN"/>
              </w:rPr>
              <w:t>Các loại cá tính thương hiệu</w:t>
            </w:r>
          </w:p>
          <w:p w:rsidR="006A4775" w:rsidRPr="006D5FAE" w:rsidRDefault="006A4775" w:rsidP="00534ECD">
            <w:pPr>
              <w:widowControl w:val="0"/>
              <w:jc w:val="both"/>
              <w:rPr>
                <w:lang w:val="vi-VN"/>
              </w:rPr>
            </w:pPr>
            <w:r w:rsidRPr="006D5FAE">
              <w:rPr>
                <w:sz w:val="22"/>
                <w:szCs w:val="22"/>
                <w:lang w:val="vi-VN"/>
              </w:rPr>
              <w:t>Đo lường cá tính thương hiệu</w:t>
            </w:r>
          </w:p>
          <w:p w:rsidR="006A4775" w:rsidRPr="006D5FAE" w:rsidRDefault="006A4775" w:rsidP="00534ECD">
            <w:pPr>
              <w:widowControl w:val="0"/>
              <w:jc w:val="both"/>
              <w:rPr>
                <w:lang w:val="vi-VN"/>
              </w:rPr>
            </w:pPr>
            <w:r w:rsidRPr="006D5FAE">
              <w:rPr>
                <w:sz w:val="22"/>
                <w:szCs w:val="22"/>
                <w:lang w:val="vi-VN"/>
              </w:rPr>
              <w:t>Quan hệ giữa cá tính thương hiệu với các bộ phận tài sản thương hiệu khác</w:t>
            </w:r>
          </w:p>
        </w:tc>
        <w:tc>
          <w:tcPr>
            <w:tcW w:w="1367"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jc w:val="center"/>
              <w:rPr>
                <w:lang w:val="vi-VN"/>
              </w:rPr>
            </w:pPr>
            <w:r w:rsidRPr="006D5FAE">
              <w:rPr>
                <w:sz w:val="22"/>
                <w:szCs w:val="22"/>
                <w:lang w:val="vi-VN"/>
              </w:rPr>
              <w:t>5</w:t>
            </w:r>
          </w:p>
        </w:tc>
        <w:tc>
          <w:tcPr>
            <w:tcW w:w="805"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ind w:left="34"/>
              <w:jc w:val="center"/>
              <w:rPr>
                <w:bCs/>
                <w:lang w:val="vi-VN"/>
              </w:rPr>
            </w:pPr>
            <w:r w:rsidRPr="006D5FAE">
              <w:rPr>
                <w:bCs/>
                <w:sz w:val="22"/>
                <w:szCs w:val="22"/>
                <w:lang w:val="vi-VN"/>
              </w:rPr>
              <w:t>2</w:t>
            </w:r>
          </w:p>
        </w:tc>
        <w:tc>
          <w:tcPr>
            <w:tcW w:w="654"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ind w:left="34"/>
              <w:jc w:val="center"/>
              <w:rPr>
                <w:bCs/>
                <w:lang w:val="vi-VN"/>
              </w:rPr>
            </w:pPr>
            <w:r w:rsidRPr="006D5FAE">
              <w:rPr>
                <w:bCs/>
                <w:sz w:val="22"/>
                <w:szCs w:val="22"/>
                <w:lang w:val="vi-VN"/>
              </w:rPr>
              <w:t>1</w:t>
            </w:r>
          </w:p>
        </w:tc>
      </w:tr>
      <w:tr w:rsidR="006A4775" w:rsidRPr="006D5FAE">
        <w:tc>
          <w:tcPr>
            <w:tcW w:w="746" w:type="dxa"/>
            <w:tcBorders>
              <w:top w:val="single" w:sz="4" w:space="0" w:color="auto"/>
              <w:left w:val="single" w:sz="4" w:space="0" w:color="auto"/>
              <w:bottom w:val="single" w:sz="4" w:space="0" w:color="auto"/>
              <w:right w:val="single" w:sz="4" w:space="0" w:color="auto"/>
            </w:tcBorders>
          </w:tcPr>
          <w:p w:rsidR="006A4775" w:rsidRPr="006D5FAE" w:rsidRDefault="006A4775" w:rsidP="006674DC">
            <w:pPr>
              <w:widowControl w:val="0"/>
              <w:tabs>
                <w:tab w:val="center" w:pos="1620"/>
                <w:tab w:val="center" w:pos="6521"/>
              </w:tabs>
              <w:jc w:val="center"/>
              <w:outlineLvl w:val="1"/>
              <w:rPr>
                <w:b/>
                <w:bCs/>
                <w:iCs/>
                <w:lang w:val="en-GB"/>
              </w:rPr>
            </w:pPr>
            <w:r w:rsidRPr="006D5FAE">
              <w:rPr>
                <w:b/>
                <w:bCs/>
                <w:iCs/>
                <w:sz w:val="22"/>
                <w:szCs w:val="22"/>
                <w:lang w:val="vi-VN"/>
              </w:rPr>
              <w:t>6</w:t>
            </w:r>
            <w:r w:rsidRPr="006D5FAE">
              <w:rPr>
                <w:b/>
                <w:bCs/>
                <w:iCs/>
                <w:sz w:val="22"/>
                <w:szCs w:val="22"/>
                <w:lang w:val="en-GB"/>
              </w:rPr>
              <w:t>.</w:t>
            </w:r>
          </w:p>
          <w:p w:rsidR="006A4775" w:rsidRPr="006D5FAE" w:rsidRDefault="006A4775" w:rsidP="006674DC">
            <w:pPr>
              <w:widowControl w:val="0"/>
              <w:tabs>
                <w:tab w:val="center" w:pos="1620"/>
                <w:tab w:val="center" w:pos="6521"/>
              </w:tabs>
              <w:jc w:val="center"/>
              <w:outlineLvl w:val="1"/>
              <w:rPr>
                <w:bCs/>
                <w:iCs/>
                <w:lang w:val="vi-VN"/>
              </w:rPr>
            </w:pPr>
            <w:r w:rsidRPr="006D5FAE">
              <w:rPr>
                <w:bCs/>
                <w:iCs/>
                <w:sz w:val="22"/>
                <w:szCs w:val="22"/>
                <w:lang w:val="vi-VN"/>
              </w:rPr>
              <w:t>6.1</w:t>
            </w:r>
          </w:p>
          <w:p w:rsidR="006A4775" w:rsidRPr="006D5FAE" w:rsidRDefault="006A4775" w:rsidP="006674DC">
            <w:pPr>
              <w:widowControl w:val="0"/>
              <w:tabs>
                <w:tab w:val="center" w:pos="1620"/>
                <w:tab w:val="center" w:pos="6521"/>
              </w:tabs>
              <w:jc w:val="center"/>
              <w:outlineLvl w:val="1"/>
              <w:rPr>
                <w:bCs/>
                <w:iCs/>
                <w:lang w:val="vi-VN"/>
              </w:rPr>
            </w:pPr>
            <w:r w:rsidRPr="006D5FAE">
              <w:rPr>
                <w:bCs/>
                <w:iCs/>
                <w:sz w:val="22"/>
                <w:szCs w:val="22"/>
                <w:lang w:val="vi-VN"/>
              </w:rPr>
              <w:t>6.2</w:t>
            </w:r>
          </w:p>
          <w:p w:rsidR="006A4775" w:rsidRPr="006D5FAE" w:rsidRDefault="006A4775" w:rsidP="006674DC">
            <w:pPr>
              <w:widowControl w:val="0"/>
              <w:tabs>
                <w:tab w:val="center" w:pos="1620"/>
                <w:tab w:val="center" w:pos="6521"/>
              </w:tabs>
              <w:jc w:val="center"/>
              <w:outlineLvl w:val="1"/>
              <w:rPr>
                <w:bCs/>
                <w:iCs/>
                <w:lang w:val="vi-VN"/>
              </w:rPr>
            </w:pPr>
            <w:r w:rsidRPr="006D5FAE">
              <w:rPr>
                <w:bCs/>
                <w:iCs/>
                <w:sz w:val="22"/>
                <w:szCs w:val="22"/>
                <w:lang w:val="vi-VN"/>
              </w:rPr>
              <w:t>6.3</w:t>
            </w:r>
          </w:p>
        </w:tc>
        <w:tc>
          <w:tcPr>
            <w:tcW w:w="5940"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jc w:val="both"/>
              <w:rPr>
                <w:b/>
                <w:lang w:val="vi-VN"/>
              </w:rPr>
            </w:pPr>
            <w:r w:rsidRPr="006D5FAE">
              <w:rPr>
                <w:b/>
                <w:sz w:val="22"/>
                <w:szCs w:val="22"/>
                <w:lang w:val="vi-VN"/>
              </w:rPr>
              <w:t>Hình ảnh thương hiệu điểm đến</w:t>
            </w:r>
          </w:p>
          <w:p w:rsidR="006A4775" w:rsidRPr="006D5FAE" w:rsidRDefault="006A4775" w:rsidP="00534ECD">
            <w:pPr>
              <w:widowControl w:val="0"/>
              <w:jc w:val="both"/>
              <w:rPr>
                <w:lang w:val="vi-VN"/>
              </w:rPr>
            </w:pPr>
            <w:r w:rsidRPr="006D5FAE">
              <w:rPr>
                <w:sz w:val="22"/>
                <w:szCs w:val="22"/>
                <w:lang w:val="vi-VN"/>
              </w:rPr>
              <w:t>Các khía cạnh hình ảnh thương hiệu điểm đến</w:t>
            </w:r>
          </w:p>
          <w:p w:rsidR="006A4775" w:rsidRPr="006D5FAE" w:rsidRDefault="006A4775" w:rsidP="00534ECD">
            <w:pPr>
              <w:widowControl w:val="0"/>
              <w:jc w:val="both"/>
              <w:rPr>
                <w:lang w:val="vi-VN"/>
              </w:rPr>
            </w:pPr>
            <w:r w:rsidRPr="006D5FAE">
              <w:rPr>
                <w:sz w:val="22"/>
                <w:szCs w:val="22"/>
                <w:lang w:val="vi-VN"/>
              </w:rPr>
              <w:t>Đo lường hình ảnh thương hiệu điểm đến</w:t>
            </w:r>
          </w:p>
          <w:p w:rsidR="006A4775" w:rsidRPr="006D5FAE" w:rsidRDefault="006A4775" w:rsidP="00534ECD">
            <w:pPr>
              <w:widowControl w:val="0"/>
              <w:jc w:val="both"/>
              <w:rPr>
                <w:lang w:val="vi-VN"/>
              </w:rPr>
            </w:pPr>
            <w:r w:rsidRPr="006D5FAE">
              <w:rPr>
                <w:sz w:val="22"/>
                <w:szCs w:val="22"/>
                <w:lang w:val="vi-VN"/>
              </w:rPr>
              <w:t>Ảnh hưởng của hình ảnh thương hiệu điểm đến đối với hành vi du khách</w:t>
            </w:r>
          </w:p>
        </w:tc>
        <w:tc>
          <w:tcPr>
            <w:tcW w:w="1367"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jc w:val="center"/>
              <w:rPr>
                <w:lang w:val="vi-VN"/>
              </w:rPr>
            </w:pPr>
            <w:r w:rsidRPr="006D5FAE">
              <w:rPr>
                <w:sz w:val="22"/>
                <w:szCs w:val="22"/>
                <w:lang w:val="vi-VN"/>
              </w:rPr>
              <w:t>5</w:t>
            </w:r>
          </w:p>
        </w:tc>
        <w:tc>
          <w:tcPr>
            <w:tcW w:w="805"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ind w:left="34"/>
              <w:jc w:val="center"/>
              <w:rPr>
                <w:bCs/>
                <w:lang w:val="vi-VN"/>
              </w:rPr>
            </w:pPr>
            <w:r w:rsidRPr="006D5FAE">
              <w:rPr>
                <w:bCs/>
                <w:sz w:val="22"/>
                <w:szCs w:val="22"/>
                <w:lang w:val="vi-VN"/>
              </w:rPr>
              <w:t>2</w:t>
            </w:r>
          </w:p>
        </w:tc>
        <w:tc>
          <w:tcPr>
            <w:tcW w:w="654"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ind w:left="34"/>
              <w:jc w:val="center"/>
              <w:rPr>
                <w:bCs/>
                <w:lang w:val="vi-VN"/>
              </w:rPr>
            </w:pPr>
            <w:r w:rsidRPr="006D5FAE">
              <w:rPr>
                <w:bCs/>
                <w:sz w:val="22"/>
                <w:szCs w:val="22"/>
                <w:lang w:val="vi-VN"/>
              </w:rPr>
              <w:t>1</w:t>
            </w:r>
          </w:p>
        </w:tc>
      </w:tr>
      <w:tr w:rsidR="006A4775" w:rsidRPr="006D5FAE">
        <w:tc>
          <w:tcPr>
            <w:tcW w:w="746" w:type="dxa"/>
            <w:tcBorders>
              <w:top w:val="single" w:sz="4" w:space="0" w:color="auto"/>
              <w:left w:val="single" w:sz="4" w:space="0" w:color="auto"/>
              <w:bottom w:val="single" w:sz="4" w:space="0" w:color="auto"/>
              <w:right w:val="single" w:sz="4" w:space="0" w:color="auto"/>
            </w:tcBorders>
          </w:tcPr>
          <w:p w:rsidR="006A4775" w:rsidRPr="006D5FAE" w:rsidRDefault="006A4775" w:rsidP="006674DC">
            <w:pPr>
              <w:widowControl w:val="0"/>
              <w:tabs>
                <w:tab w:val="center" w:pos="1620"/>
                <w:tab w:val="center" w:pos="6521"/>
              </w:tabs>
              <w:jc w:val="center"/>
              <w:outlineLvl w:val="1"/>
              <w:rPr>
                <w:b/>
                <w:bCs/>
                <w:iCs/>
                <w:lang w:val="en-GB"/>
              </w:rPr>
            </w:pPr>
            <w:r w:rsidRPr="006D5FAE">
              <w:rPr>
                <w:b/>
                <w:bCs/>
                <w:iCs/>
                <w:sz w:val="22"/>
                <w:szCs w:val="22"/>
                <w:lang w:val="vi-VN"/>
              </w:rPr>
              <w:t>7</w:t>
            </w:r>
            <w:r w:rsidRPr="006D5FAE">
              <w:rPr>
                <w:b/>
                <w:bCs/>
                <w:iCs/>
                <w:sz w:val="22"/>
                <w:szCs w:val="22"/>
                <w:lang w:val="en-GB"/>
              </w:rPr>
              <w:t>.</w:t>
            </w:r>
          </w:p>
          <w:p w:rsidR="006A4775" w:rsidRPr="006D5FAE" w:rsidRDefault="006A4775" w:rsidP="006674DC">
            <w:pPr>
              <w:widowControl w:val="0"/>
              <w:tabs>
                <w:tab w:val="center" w:pos="1620"/>
                <w:tab w:val="center" w:pos="6521"/>
              </w:tabs>
              <w:jc w:val="center"/>
              <w:outlineLvl w:val="1"/>
              <w:rPr>
                <w:bCs/>
                <w:iCs/>
                <w:lang w:val="vi-VN"/>
              </w:rPr>
            </w:pPr>
            <w:r w:rsidRPr="006D5FAE">
              <w:rPr>
                <w:bCs/>
                <w:iCs/>
                <w:sz w:val="22"/>
                <w:szCs w:val="22"/>
                <w:lang w:val="vi-VN"/>
              </w:rPr>
              <w:t>7.1</w:t>
            </w:r>
          </w:p>
          <w:p w:rsidR="006A4775" w:rsidRPr="006D5FAE" w:rsidRDefault="006A4775" w:rsidP="006674DC">
            <w:pPr>
              <w:widowControl w:val="0"/>
              <w:tabs>
                <w:tab w:val="center" w:pos="1620"/>
                <w:tab w:val="center" w:pos="6521"/>
              </w:tabs>
              <w:jc w:val="center"/>
              <w:outlineLvl w:val="1"/>
              <w:rPr>
                <w:bCs/>
                <w:iCs/>
                <w:lang w:val="vi-VN"/>
              </w:rPr>
            </w:pPr>
            <w:r w:rsidRPr="006D5FAE">
              <w:rPr>
                <w:bCs/>
                <w:iCs/>
                <w:sz w:val="22"/>
                <w:szCs w:val="22"/>
                <w:lang w:val="vi-VN"/>
              </w:rPr>
              <w:t>7.2</w:t>
            </w:r>
          </w:p>
          <w:p w:rsidR="006A4775" w:rsidRPr="006D5FAE" w:rsidRDefault="006A4775" w:rsidP="006674DC">
            <w:pPr>
              <w:widowControl w:val="0"/>
              <w:tabs>
                <w:tab w:val="center" w:pos="1620"/>
                <w:tab w:val="center" w:pos="6521"/>
              </w:tabs>
              <w:jc w:val="center"/>
              <w:outlineLvl w:val="1"/>
              <w:rPr>
                <w:bCs/>
                <w:iCs/>
                <w:lang w:val="vi-VN"/>
              </w:rPr>
            </w:pPr>
            <w:r w:rsidRPr="006D5FAE">
              <w:rPr>
                <w:bCs/>
                <w:iCs/>
                <w:sz w:val="22"/>
                <w:szCs w:val="22"/>
                <w:lang w:val="vi-VN"/>
              </w:rPr>
              <w:t>7.3</w:t>
            </w:r>
          </w:p>
          <w:p w:rsidR="006A4775" w:rsidRPr="006D5FAE" w:rsidRDefault="006A4775" w:rsidP="006674DC">
            <w:pPr>
              <w:widowControl w:val="0"/>
              <w:tabs>
                <w:tab w:val="center" w:pos="1620"/>
                <w:tab w:val="center" w:pos="6521"/>
              </w:tabs>
              <w:jc w:val="center"/>
              <w:outlineLvl w:val="1"/>
              <w:rPr>
                <w:bCs/>
                <w:iCs/>
                <w:lang w:val="vi-VN"/>
              </w:rPr>
            </w:pPr>
          </w:p>
        </w:tc>
        <w:tc>
          <w:tcPr>
            <w:tcW w:w="5940"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jc w:val="both"/>
              <w:rPr>
                <w:b/>
                <w:lang w:val="vi-VN"/>
              </w:rPr>
            </w:pPr>
            <w:r w:rsidRPr="006D5FAE">
              <w:rPr>
                <w:b/>
                <w:sz w:val="22"/>
                <w:szCs w:val="22"/>
                <w:lang w:val="vi-VN"/>
              </w:rPr>
              <w:t>Trung thành thương hiệu</w:t>
            </w:r>
          </w:p>
          <w:p w:rsidR="006A4775" w:rsidRPr="006D5FAE" w:rsidRDefault="006A4775" w:rsidP="00534ECD">
            <w:pPr>
              <w:widowControl w:val="0"/>
              <w:jc w:val="both"/>
              <w:rPr>
                <w:lang w:val="vi-VN"/>
              </w:rPr>
            </w:pPr>
            <w:r w:rsidRPr="006D5FAE">
              <w:rPr>
                <w:sz w:val="22"/>
                <w:szCs w:val="22"/>
                <w:lang w:val="vi-VN"/>
              </w:rPr>
              <w:t>Khung tích hợp về trung thành thương hiệu</w:t>
            </w:r>
          </w:p>
          <w:p w:rsidR="006A4775" w:rsidRPr="006D5FAE" w:rsidRDefault="006A4775" w:rsidP="00534ECD">
            <w:pPr>
              <w:widowControl w:val="0"/>
              <w:jc w:val="both"/>
              <w:rPr>
                <w:lang w:val="vi-VN"/>
              </w:rPr>
            </w:pPr>
            <w:r w:rsidRPr="006D5FAE">
              <w:rPr>
                <w:sz w:val="22"/>
                <w:szCs w:val="22"/>
                <w:lang w:val="vi-VN"/>
              </w:rPr>
              <w:t>Quá trình phát triển trung thành thương hiệu</w:t>
            </w:r>
          </w:p>
          <w:p w:rsidR="006A4775" w:rsidRPr="006D5FAE" w:rsidRDefault="006A4775" w:rsidP="00534ECD">
            <w:pPr>
              <w:widowControl w:val="0"/>
              <w:jc w:val="both"/>
              <w:rPr>
                <w:lang w:val="vi-VN"/>
              </w:rPr>
            </w:pPr>
            <w:r w:rsidRPr="006D5FAE">
              <w:rPr>
                <w:sz w:val="22"/>
                <w:szCs w:val="22"/>
                <w:lang w:val="vi-VN"/>
              </w:rPr>
              <w:t>Mối quan hệ giữa trung thành thương hiệu với các bộ phận tài sản thương hiệu khác</w:t>
            </w:r>
          </w:p>
        </w:tc>
        <w:tc>
          <w:tcPr>
            <w:tcW w:w="1367"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jc w:val="center"/>
              <w:rPr>
                <w:lang w:val="vi-VN"/>
              </w:rPr>
            </w:pPr>
            <w:r w:rsidRPr="006D5FAE">
              <w:rPr>
                <w:sz w:val="22"/>
                <w:szCs w:val="22"/>
                <w:lang w:val="vi-VN"/>
              </w:rPr>
              <w:t>5</w:t>
            </w:r>
          </w:p>
        </w:tc>
        <w:tc>
          <w:tcPr>
            <w:tcW w:w="805"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ind w:left="34"/>
              <w:jc w:val="center"/>
              <w:rPr>
                <w:bCs/>
                <w:lang w:val="vi-VN"/>
              </w:rPr>
            </w:pPr>
            <w:r w:rsidRPr="006D5FAE">
              <w:rPr>
                <w:bCs/>
                <w:sz w:val="22"/>
                <w:szCs w:val="22"/>
                <w:lang w:val="vi-VN"/>
              </w:rPr>
              <w:t>2</w:t>
            </w:r>
          </w:p>
        </w:tc>
        <w:tc>
          <w:tcPr>
            <w:tcW w:w="654" w:type="dxa"/>
            <w:tcBorders>
              <w:top w:val="single" w:sz="4" w:space="0" w:color="auto"/>
              <w:left w:val="single" w:sz="4" w:space="0" w:color="auto"/>
              <w:bottom w:val="single" w:sz="4" w:space="0" w:color="auto"/>
              <w:right w:val="single" w:sz="4" w:space="0" w:color="auto"/>
            </w:tcBorders>
          </w:tcPr>
          <w:p w:rsidR="006A4775" w:rsidRPr="006D5FAE" w:rsidRDefault="006A4775" w:rsidP="00534ECD">
            <w:pPr>
              <w:widowControl w:val="0"/>
              <w:ind w:left="34"/>
              <w:jc w:val="center"/>
              <w:rPr>
                <w:bCs/>
                <w:lang w:val="vi-VN"/>
              </w:rPr>
            </w:pPr>
            <w:r w:rsidRPr="006D5FAE">
              <w:rPr>
                <w:bCs/>
                <w:sz w:val="22"/>
                <w:szCs w:val="22"/>
                <w:lang w:val="vi-VN"/>
              </w:rPr>
              <w:t>1</w:t>
            </w:r>
          </w:p>
        </w:tc>
      </w:tr>
      <w:tr w:rsidR="006A4775" w:rsidRPr="006D5FAE" w:rsidTr="006674DC">
        <w:trPr>
          <w:trHeight w:val="334"/>
        </w:trPr>
        <w:tc>
          <w:tcPr>
            <w:tcW w:w="9512" w:type="dxa"/>
            <w:gridSpan w:val="5"/>
            <w:tcBorders>
              <w:top w:val="single" w:sz="4" w:space="0" w:color="auto"/>
            </w:tcBorders>
          </w:tcPr>
          <w:p w:rsidR="006A4775" w:rsidRPr="006D5FAE" w:rsidRDefault="006A4775" w:rsidP="00534ECD">
            <w:pPr>
              <w:widowControl w:val="0"/>
              <w:spacing w:line="360" w:lineRule="auto"/>
              <w:jc w:val="both"/>
              <w:rPr>
                <w:lang w:val="vi-VN"/>
              </w:rPr>
            </w:pPr>
          </w:p>
        </w:tc>
      </w:tr>
      <w:tr w:rsidR="006A4775" w:rsidRPr="006D5FAE">
        <w:tc>
          <w:tcPr>
            <w:tcW w:w="746" w:type="dxa"/>
          </w:tcPr>
          <w:p w:rsidR="006A4775" w:rsidRPr="006D5FAE" w:rsidRDefault="006A4775" w:rsidP="006674DC">
            <w:pPr>
              <w:widowControl w:val="0"/>
              <w:spacing w:before="120"/>
              <w:jc w:val="both"/>
              <w:rPr>
                <w:b/>
                <w:lang w:val="vi-VN"/>
              </w:rPr>
            </w:pPr>
            <w:r w:rsidRPr="006D5FAE">
              <w:rPr>
                <w:b/>
                <w:sz w:val="22"/>
                <w:szCs w:val="22"/>
                <w:lang w:val="vi-VN"/>
              </w:rPr>
              <w:t>6.</w:t>
            </w:r>
          </w:p>
        </w:tc>
        <w:tc>
          <w:tcPr>
            <w:tcW w:w="8766" w:type="dxa"/>
            <w:gridSpan w:val="4"/>
          </w:tcPr>
          <w:p w:rsidR="006A4775" w:rsidRPr="006D5FAE" w:rsidRDefault="006A4775" w:rsidP="006674DC">
            <w:pPr>
              <w:widowControl w:val="0"/>
              <w:spacing w:before="120"/>
              <w:jc w:val="both"/>
              <w:rPr>
                <w:lang w:val="vi-VN"/>
              </w:rPr>
            </w:pPr>
            <w:r w:rsidRPr="006D5FAE">
              <w:rPr>
                <w:b/>
                <w:sz w:val="22"/>
                <w:szCs w:val="22"/>
                <w:lang w:val="vi-VN"/>
              </w:rPr>
              <w:t>Học liệu</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1)</w:t>
            </w:r>
          </w:p>
        </w:tc>
        <w:tc>
          <w:tcPr>
            <w:tcW w:w="8766" w:type="dxa"/>
            <w:gridSpan w:val="4"/>
          </w:tcPr>
          <w:p w:rsidR="006A4775" w:rsidRPr="006D5FAE" w:rsidRDefault="006A4775" w:rsidP="006674DC">
            <w:pPr>
              <w:widowControl w:val="0"/>
              <w:spacing w:before="120"/>
              <w:jc w:val="both"/>
              <w:rPr>
                <w:lang w:val="vi-VN"/>
              </w:rPr>
            </w:pPr>
            <w:r w:rsidRPr="006D5FAE">
              <w:rPr>
                <w:sz w:val="22"/>
                <w:szCs w:val="22"/>
                <w:lang w:val="vi-VN"/>
              </w:rPr>
              <w:t xml:space="preserve">Tybout, A.M và Calkins, T. (2007), </w:t>
            </w:r>
            <w:r w:rsidRPr="006D5FAE">
              <w:rPr>
                <w:i/>
                <w:sz w:val="22"/>
                <w:szCs w:val="22"/>
                <w:lang w:val="vi-VN"/>
              </w:rPr>
              <w:t>Kellog bàn về thương hiệu</w:t>
            </w:r>
            <w:r w:rsidRPr="006D5FAE">
              <w:rPr>
                <w:sz w:val="22"/>
                <w:szCs w:val="22"/>
                <w:lang w:val="vi-VN"/>
              </w:rPr>
              <w:t>, NXB Văn Hóa Sài Gòn</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2)</w:t>
            </w:r>
          </w:p>
        </w:tc>
        <w:tc>
          <w:tcPr>
            <w:tcW w:w="8766" w:type="dxa"/>
            <w:gridSpan w:val="4"/>
          </w:tcPr>
          <w:p w:rsidR="006A4775" w:rsidRPr="006D5FAE" w:rsidRDefault="006A4775" w:rsidP="006674DC">
            <w:pPr>
              <w:widowControl w:val="0"/>
              <w:spacing w:before="120"/>
              <w:jc w:val="both"/>
              <w:rPr>
                <w:lang w:val="vi-VN"/>
              </w:rPr>
            </w:pPr>
            <w:r w:rsidRPr="006D5FAE">
              <w:rPr>
                <w:sz w:val="22"/>
                <w:szCs w:val="22"/>
                <w:lang w:val="vi-VN"/>
              </w:rPr>
              <w:t xml:space="preserve">Nguyễn Văn Dung (2009), </w:t>
            </w:r>
            <w:r w:rsidRPr="006D5FAE">
              <w:rPr>
                <w:i/>
                <w:sz w:val="22"/>
                <w:szCs w:val="22"/>
                <w:lang w:val="vi-VN"/>
              </w:rPr>
              <w:t xml:space="preserve">Xây dựng thương hiệu mạnh, </w:t>
            </w:r>
            <w:r w:rsidRPr="006D5FAE">
              <w:rPr>
                <w:sz w:val="22"/>
                <w:szCs w:val="22"/>
                <w:lang w:val="vi-VN"/>
              </w:rPr>
              <w:t>NXB Giao thông Vận tải.</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3)</w:t>
            </w:r>
          </w:p>
        </w:tc>
        <w:tc>
          <w:tcPr>
            <w:tcW w:w="8766" w:type="dxa"/>
            <w:gridSpan w:val="4"/>
          </w:tcPr>
          <w:p w:rsidR="006A4775" w:rsidRPr="006D5FAE" w:rsidRDefault="006A4775" w:rsidP="006674DC">
            <w:pPr>
              <w:spacing w:before="120"/>
              <w:jc w:val="both"/>
              <w:rPr>
                <w:lang w:val="en-GB"/>
              </w:rPr>
            </w:pPr>
            <w:r w:rsidRPr="006D5FAE">
              <w:rPr>
                <w:sz w:val="22"/>
                <w:szCs w:val="22"/>
                <w:lang w:val="vi-VN"/>
              </w:rPr>
              <w:t>Taylor Randall, Karl Ulrich,  David Reibstein</w:t>
            </w:r>
            <w:r w:rsidRPr="006D5FAE">
              <w:rPr>
                <w:bCs/>
                <w:sz w:val="22"/>
                <w:szCs w:val="22"/>
                <w:lang w:val="vi-VN"/>
              </w:rPr>
              <w:t xml:space="preserve"> (1998), “Brand equity and vertical product line extent”, M</w:t>
            </w:r>
            <w:r w:rsidRPr="006D5FAE">
              <w:rPr>
                <w:i/>
                <w:iCs/>
                <w:sz w:val="22"/>
                <w:szCs w:val="22"/>
                <w:lang w:val="vi-VN"/>
              </w:rPr>
              <w:t xml:space="preserve">arketing Science, </w:t>
            </w:r>
            <w:r w:rsidRPr="006D5FAE">
              <w:rPr>
                <w:sz w:val="22"/>
                <w:szCs w:val="22"/>
                <w:lang w:val="vi-VN"/>
              </w:rPr>
              <w:t>17 (4), 356–379</w:t>
            </w:r>
            <w:r w:rsidRPr="006D5FAE">
              <w:rPr>
                <w:sz w:val="22"/>
                <w:szCs w:val="22"/>
                <w:lang w:val="en-GB"/>
              </w:rPr>
              <w:t>.</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4)</w:t>
            </w:r>
          </w:p>
        </w:tc>
        <w:tc>
          <w:tcPr>
            <w:tcW w:w="8766" w:type="dxa"/>
            <w:gridSpan w:val="4"/>
          </w:tcPr>
          <w:p w:rsidR="006A4775" w:rsidRPr="006D5FAE" w:rsidRDefault="006A4775" w:rsidP="006674DC">
            <w:pPr>
              <w:spacing w:before="120"/>
              <w:jc w:val="both"/>
              <w:rPr>
                <w:lang w:val="en-GB"/>
              </w:rPr>
            </w:pPr>
            <w:r w:rsidRPr="006D5FAE">
              <w:rPr>
                <w:sz w:val="22"/>
                <w:szCs w:val="22"/>
                <w:lang w:val="vi-VN"/>
              </w:rPr>
              <w:t xml:space="preserve">Eva Martinez, Yolanda Polo Leslie de Chernatony, (2008), </w:t>
            </w:r>
            <w:r w:rsidRPr="006D5FAE">
              <w:rPr>
                <w:bCs/>
                <w:sz w:val="22"/>
                <w:szCs w:val="22"/>
                <w:lang w:val="vi-VN"/>
              </w:rPr>
              <w:t xml:space="preserve"> “Effect of brand extension strategies on brand image comparative study of the UK and Spanish markets”, </w:t>
            </w:r>
            <w:r w:rsidRPr="006D5FAE">
              <w:rPr>
                <w:i/>
                <w:iCs/>
                <w:sz w:val="22"/>
                <w:szCs w:val="22"/>
                <w:lang w:val="vi-VN"/>
              </w:rPr>
              <w:t xml:space="preserve">International Marketing Review, </w:t>
            </w:r>
            <w:r w:rsidRPr="006D5FAE">
              <w:rPr>
                <w:sz w:val="22"/>
                <w:szCs w:val="22"/>
                <w:lang w:val="vi-VN"/>
              </w:rPr>
              <w:t>25 (1), 107-137</w:t>
            </w:r>
            <w:r w:rsidRPr="006D5FAE">
              <w:rPr>
                <w:sz w:val="22"/>
                <w:szCs w:val="22"/>
                <w:lang w:val="en-GB"/>
              </w:rPr>
              <w:t>.</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5)</w:t>
            </w:r>
          </w:p>
        </w:tc>
        <w:tc>
          <w:tcPr>
            <w:tcW w:w="8766" w:type="dxa"/>
            <w:gridSpan w:val="4"/>
          </w:tcPr>
          <w:p w:rsidR="006A4775" w:rsidRPr="006D5FAE" w:rsidRDefault="006A4775" w:rsidP="006674DC">
            <w:pPr>
              <w:spacing w:before="120"/>
              <w:jc w:val="both"/>
              <w:rPr>
                <w:lang w:val="vi-VN"/>
              </w:rPr>
            </w:pPr>
            <w:r w:rsidRPr="006D5FAE">
              <w:rPr>
                <w:sz w:val="22"/>
                <w:szCs w:val="22"/>
                <w:lang w:val="vi-VN"/>
              </w:rPr>
              <w:t>Eva Martínez Salinas, José Miguel Pina Pérez</w:t>
            </w:r>
            <w:r w:rsidRPr="006D5FAE">
              <w:rPr>
                <w:bCs/>
                <w:sz w:val="22"/>
                <w:szCs w:val="22"/>
                <w:lang w:val="vi-VN"/>
              </w:rPr>
              <w:t xml:space="preserve"> (2009), “Modeling the brand extensions' influence on brand image</w:t>
            </w:r>
            <w:r w:rsidRPr="006D5FAE">
              <w:rPr>
                <w:sz w:val="22"/>
                <w:szCs w:val="22"/>
                <w:lang w:val="vi-VN"/>
              </w:rPr>
              <w:t xml:space="preserve">”, </w:t>
            </w:r>
            <w:r w:rsidRPr="006D5FAE">
              <w:rPr>
                <w:i/>
                <w:iCs/>
                <w:sz w:val="22"/>
                <w:szCs w:val="22"/>
                <w:lang w:val="vi-VN"/>
              </w:rPr>
              <w:t>Business Research,</w:t>
            </w:r>
            <w:r w:rsidRPr="006D5FAE">
              <w:rPr>
                <w:sz w:val="22"/>
                <w:szCs w:val="22"/>
                <w:lang w:val="vi-VN"/>
              </w:rPr>
              <w:t xml:space="preserve"> 62, 50–60.</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6)</w:t>
            </w:r>
          </w:p>
        </w:tc>
        <w:tc>
          <w:tcPr>
            <w:tcW w:w="8766" w:type="dxa"/>
            <w:gridSpan w:val="4"/>
          </w:tcPr>
          <w:p w:rsidR="006A4775" w:rsidRPr="006D5FAE" w:rsidRDefault="006A4775" w:rsidP="006674DC">
            <w:pPr>
              <w:spacing w:before="120"/>
              <w:jc w:val="both"/>
              <w:rPr>
                <w:lang w:val="en-GB"/>
              </w:rPr>
            </w:pPr>
            <w:r w:rsidRPr="006D5FAE">
              <w:rPr>
                <w:sz w:val="22"/>
                <w:szCs w:val="22"/>
                <w:lang w:val="vi-VN"/>
              </w:rPr>
              <w:t>Sandor Czellar</w:t>
            </w:r>
            <w:r w:rsidRPr="006D5FAE">
              <w:rPr>
                <w:bCs/>
                <w:sz w:val="22"/>
                <w:szCs w:val="22"/>
                <w:lang w:val="vi-VN"/>
              </w:rPr>
              <w:t xml:space="preserve"> (2003), “Consumer attitude toward brand extensions: an integrative model and research propositions”, </w:t>
            </w:r>
            <w:r w:rsidRPr="006D5FAE">
              <w:rPr>
                <w:i/>
                <w:iCs/>
                <w:sz w:val="22"/>
                <w:szCs w:val="22"/>
                <w:lang w:val="vi-VN"/>
              </w:rPr>
              <w:t>Intern. J. of Research in Marketing</w:t>
            </w:r>
            <w:r w:rsidRPr="006D5FAE">
              <w:rPr>
                <w:sz w:val="22"/>
                <w:szCs w:val="22"/>
                <w:lang w:val="vi-VN"/>
              </w:rPr>
              <w:t>, 20, 97–115</w:t>
            </w:r>
            <w:r w:rsidRPr="006D5FAE">
              <w:rPr>
                <w:sz w:val="22"/>
                <w:szCs w:val="22"/>
                <w:lang w:val="en-GB"/>
              </w:rPr>
              <w:t>.</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lastRenderedPageBreak/>
              <w:t>7)</w:t>
            </w:r>
          </w:p>
        </w:tc>
        <w:tc>
          <w:tcPr>
            <w:tcW w:w="8766" w:type="dxa"/>
            <w:gridSpan w:val="4"/>
          </w:tcPr>
          <w:p w:rsidR="006A4775" w:rsidRPr="006D5FAE" w:rsidRDefault="006A4775" w:rsidP="006674DC">
            <w:pPr>
              <w:spacing w:before="120"/>
              <w:jc w:val="both"/>
              <w:rPr>
                <w:lang w:val="vi-VN"/>
              </w:rPr>
            </w:pPr>
            <w:r w:rsidRPr="006D5FAE">
              <w:rPr>
                <w:sz w:val="22"/>
                <w:szCs w:val="22"/>
                <w:lang w:val="vi-VN"/>
              </w:rPr>
              <w:t>Keller, Kevin Lane (1993), “</w:t>
            </w:r>
            <w:r w:rsidRPr="006D5FAE">
              <w:rPr>
                <w:bCs/>
                <w:sz w:val="22"/>
                <w:szCs w:val="22"/>
                <w:lang w:val="vi-VN"/>
              </w:rPr>
              <w:t xml:space="preserve">Conceptualizing, measuring, and managing customer-based brand equity”, </w:t>
            </w:r>
            <w:r w:rsidRPr="006D5FAE">
              <w:rPr>
                <w:i/>
                <w:iCs/>
                <w:sz w:val="22"/>
                <w:szCs w:val="22"/>
                <w:lang w:val="vi-VN"/>
              </w:rPr>
              <w:t xml:space="preserve">Journal of Marketing, </w:t>
            </w:r>
            <w:r w:rsidRPr="006D5FAE">
              <w:rPr>
                <w:sz w:val="22"/>
                <w:szCs w:val="22"/>
                <w:lang w:val="vi-VN"/>
              </w:rPr>
              <w:t>57 (1), 1-22.</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8)</w:t>
            </w:r>
          </w:p>
        </w:tc>
        <w:tc>
          <w:tcPr>
            <w:tcW w:w="8766" w:type="dxa"/>
            <w:gridSpan w:val="4"/>
          </w:tcPr>
          <w:p w:rsidR="006A4775" w:rsidRPr="006D5FAE" w:rsidRDefault="006A4775" w:rsidP="006674DC">
            <w:pPr>
              <w:spacing w:before="120"/>
              <w:jc w:val="both"/>
              <w:rPr>
                <w:lang w:val="en-GB"/>
              </w:rPr>
            </w:pPr>
            <w:r w:rsidRPr="006D5FAE">
              <w:rPr>
                <w:sz w:val="22"/>
                <w:szCs w:val="22"/>
                <w:lang w:val="vi-VN"/>
              </w:rPr>
              <w:t>Kevin Lane Keller (2003), “</w:t>
            </w:r>
            <w:r w:rsidRPr="006D5FAE">
              <w:rPr>
                <w:bCs/>
                <w:sz w:val="22"/>
                <w:szCs w:val="22"/>
                <w:lang w:val="vi-VN"/>
              </w:rPr>
              <w:t xml:space="preserve">Brand synthesis: The multidimensionality of brand knowledge”, </w:t>
            </w:r>
            <w:r w:rsidRPr="006D5FAE">
              <w:rPr>
                <w:i/>
                <w:iCs/>
                <w:sz w:val="22"/>
                <w:szCs w:val="22"/>
                <w:lang w:val="vi-VN"/>
              </w:rPr>
              <w:t xml:space="preserve">Journal of Consumer Research, </w:t>
            </w:r>
            <w:r w:rsidRPr="006D5FAE">
              <w:rPr>
                <w:sz w:val="22"/>
                <w:szCs w:val="22"/>
                <w:lang w:val="vi-VN"/>
              </w:rPr>
              <w:t>29(4), 595-600</w:t>
            </w:r>
            <w:r w:rsidRPr="006D5FAE">
              <w:rPr>
                <w:sz w:val="22"/>
                <w:szCs w:val="22"/>
                <w:lang w:val="en-GB"/>
              </w:rPr>
              <w:t>.</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9)</w:t>
            </w:r>
          </w:p>
        </w:tc>
        <w:tc>
          <w:tcPr>
            <w:tcW w:w="8766" w:type="dxa"/>
            <w:gridSpan w:val="4"/>
          </w:tcPr>
          <w:p w:rsidR="006A4775" w:rsidRPr="006D5FAE" w:rsidRDefault="006A4775" w:rsidP="006674DC">
            <w:pPr>
              <w:spacing w:before="120"/>
              <w:jc w:val="both"/>
              <w:rPr>
                <w:lang w:val="vi-VN"/>
              </w:rPr>
            </w:pPr>
            <w:r w:rsidRPr="006D5FAE">
              <w:rPr>
                <w:sz w:val="22"/>
                <w:szCs w:val="22"/>
                <w:lang w:val="vi-VN"/>
              </w:rPr>
              <w:t>Fiona Harris, Leslie de Chernatony</w:t>
            </w:r>
            <w:r w:rsidRPr="006D5FAE">
              <w:rPr>
                <w:bCs/>
                <w:sz w:val="22"/>
                <w:szCs w:val="22"/>
                <w:lang w:val="vi-VN"/>
              </w:rPr>
              <w:t xml:space="preserve"> (2001), “Corporate branding and corporate brand performance”, </w:t>
            </w:r>
            <w:r w:rsidRPr="006D5FAE">
              <w:rPr>
                <w:i/>
                <w:iCs/>
                <w:sz w:val="22"/>
                <w:szCs w:val="22"/>
                <w:lang w:val="vi-VN"/>
              </w:rPr>
              <w:t xml:space="preserve">European Journal of Marketing, </w:t>
            </w:r>
            <w:r w:rsidRPr="006D5FAE">
              <w:rPr>
                <w:sz w:val="22"/>
                <w:szCs w:val="22"/>
                <w:lang w:val="vi-VN"/>
              </w:rPr>
              <w:t>35(3/4), 441-456.</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10)</w:t>
            </w:r>
          </w:p>
        </w:tc>
        <w:tc>
          <w:tcPr>
            <w:tcW w:w="8766" w:type="dxa"/>
            <w:gridSpan w:val="4"/>
          </w:tcPr>
          <w:p w:rsidR="006A4775" w:rsidRPr="006D5FAE" w:rsidRDefault="006A4775" w:rsidP="006674DC">
            <w:pPr>
              <w:spacing w:before="120"/>
              <w:jc w:val="both"/>
              <w:rPr>
                <w:lang w:val="en-GB"/>
              </w:rPr>
            </w:pPr>
            <w:r w:rsidRPr="006D5FAE">
              <w:rPr>
                <w:sz w:val="22"/>
                <w:szCs w:val="22"/>
                <w:lang w:val="vi-VN"/>
              </w:rPr>
              <w:t>Sheena Leek, George Christodoulides</w:t>
            </w:r>
            <w:r w:rsidRPr="006D5FAE">
              <w:rPr>
                <w:bCs/>
                <w:sz w:val="22"/>
                <w:szCs w:val="22"/>
                <w:lang w:val="vi-VN"/>
              </w:rPr>
              <w:t xml:space="preserve"> (2012), “A framework of brand value in B2B markets: The contributing role of functional and emotional components”, </w:t>
            </w:r>
            <w:r w:rsidRPr="006D5FAE">
              <w:rPr>
                <w:i/>
                <w:iCs/>
                <w:sz w:val="22"/>
                <w:szCs w:val="22"/>
                <w:lang w:val="vi-VN"/>
              </w:rPr>
              <w:t xml:space="preserve">Industrial Marketing Management, </w:t>
            </w:r>
            <w:r w:rsidRPr="006D5FAE">
              <w:rPr>
                <w:sz w:val="22"/>
                <w:szCs w:val="22"/>
                <w:lang w:val="vi-VN"/>
              </w:rPr>
              <w:t>41, 106–114</w:t>
            </w:r>
            <w:r w:rsidRPr="006D5FAE">
              <w:rPr>
                <w:sz w:val="22"/>
                <w:szCs w:val="22"/>
                <w:lang w:val="en-GB"/>
              </w:rPr>
              <w:t>.</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11)</w:t>
            </w:r>
          </w:p>
        </w:tc>
        <w:tc>
          <w:tcPr>
            <w:tcW w:w="8766" w:type="dxa"/>
            <w:gridSpan w:val="4"/>
          </w:tcPr>
          <w:p w:rsidR="006A4775" w:rsidRPr="006D5FAE" w:rsidRDefault="006A4775" w:rsidP="006674DC">
            <w:pPr>
              <w:spacing w:before="120"/>
              <w:jc w:val="both"/>
              <w:rPr>
                <w:lang w:val="en-GB"/>
              </w:rPr>
            </w:pPr>
            <w:r w:rsidRPr="006D5FAE">
              <w:rPr>
                <w:sz w:val="22"/>
                <w:szCs w:val="22"/>
                <w:lang w:val="vi-VN"/>
              </w:rPr>
              <w:t>Magali Jara, Gerard Cliquet (2012), “</w:t>
            </w:r>
            <w:r w:rsidRPr="006D5FAE">
              <w:rPr>
                <w:bCs/>
                <w:sz w:val="22"/>
                <w:szCs w:val="22"/>
                <w:lang w:val="vi-VN"/>
              </w:rPr>
              <w:t xml:space="preserve">Retail brand equity: Conceptualization and measurement”, </w:t>
            </w:r>
            <w:r w:rsidRPr="006D5FAE">
              <w:rPr>
                <w:i/>
                <w:sz w:val="22"/>
                <w:szCs w:val="22"/>
                <w:lang w:val="vi-VN"/>
              </w:rPr>
              <w:t>Journal of Retailing and Consumer Services</w:t>
            </w:r>
            <w:r w:rsidRPr="006D5FAE">
              <w:rPr>
                <w:sz w:val="22"/>
                <w:szCs w:val="22"/>
                <w:lang w:val="vi-VN"/>
              </w:rPr>
              <w:t>, 19, 40–149</w:t>
            </w:r>
            <w:r w:rsidRPr="006D5FAE">
              <w:rPr>
                <w:sz w:val="22"/>
                <w:szCs w:val="22"/>
                <w:lang w:val="en-GB"/>
              </w:rPr>
              <w:t>.</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12)</w:t>
            </w:r>
          </w:p>
        </w:tc>
        <w:tc>
          <w:tcPr>
            <w:tcW w:w="8766" w:type="dxa"/>
            <w:gridSpan w:val="4"/>
          </w:tcPr>
          <w:p w:rsidR="006A4775" w:rsidRPr="006D5FAE" w:rsidRDefault="006A4775" w:rsidP="006674DC">
            <w:pPr>
              <w:spacing w:before="120"/>
              <w:jc w:val="both"/>
              <w:rPr>
                <w:lang w:val="vi-VN"/>
              </w:rPr>
            </w:pPr>
            <w:r w:rsidRPr="006D5FAE">
              <w:rPr>
                <w:sz w:val="22"/>
                <w:szCs w:val="22"/>
                <w:lang w:val="vi-VN"/>
              </w:rPr>
              <w:t>C. Whan Park, Bernard J. Jaworski, Deborah J. Maclnnis</w:t>
            </w:r>
            <w:r w:rsidRPr="006D5FAE">
              <w:rPr>
                <w:bCs/>
                <w:sz w:val="22"/>
                <w:szCs w:val="22"/>
                <w:lang w:val="vi-VN"/>
              </w:rPr>
              <w:t xml:space="preserve"> (1986), “Strategic Brand Concept-Image Management”, </w:t>
            </w:r>
            <w:r w:rsidRPr="006D5FAE">
              <w:rPr>
                <w:bCs/>
                <w:i/>
                <w:sz w:val="22"/>
                <w:szCs w:val="22"/>
                <w:lang w:val="vi-VN"/>
              </w:rPr>
              <w:t>The Journal of Marketing</w:t>
            </w:r>
            <w:r w:rsidRPr="006D5FAE">
              <w:rPr>
                <w:bCs/>
                <w:sz w:val="22"/>
                <w:szCs w:val="22"/>
                <w:lang w:val="vi-VN"/>
              </w:rPr>
              <w:t>, 4</w:t>
            </w:r>
            <w:r w:rsidRPr="006D5FAE">
              <w:rPr>
                <w:sz w:val="22"/>
                <w:szCs w:val="22"/>
                <w:lang w:val="vi-VN"/>
              </w:rPr>
              <w:t>0(4), 135-145</w:t>
            </w:r>
            <w:r w:rsidRPr="006D5FAE">
              <w:rPr>
                <w:sz w:val="22"/>
                <w:szCs w:val="22"/>
                <w:lang w:val="en-GB"/>
              </w:rPr>
              <w:t>.</w:t>
            </w:r>
            <w:r w:rsidRPr="006D5FAE">
              <w:rPr>
                <w:sz w:val="22"/>
                <w:szCs w:val="22"/>
                <w:lang w:val="vi-VN"/>
              </w:rPr>
              <w:t xml:space="preserve"> </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13)</w:t>
            </w:r>
          </w:p>
        </w:tc>
        <w:tc>
          <w:tcPr>
            <w:tcW w:w="8766" w:type="dxa"/>
            <w:gridSpan w:val="4"/>
          </w:tcPr>
          <w:p w:rsidR="006A4775" w:rsidRPr="006D5FAE" w:rsidRDefault="006A4775" w:rsidP="006674DC">
            <w:pPr>
              <w:spacing w:before="120"/>
              <w:jc w:val="both"/>
              <w:rPr>
                <w:lang w:val="en-GB"/>
              </w:rPr>
            </w:pPr>
            <w:r w:rsidRPr="006D5FAE">
              <w:rPr>
                <w:sz w:val="22"/>
                <w:szCs w:val="22"/>
                <w:lang w:val="vi-VN"/>
              </w:rPr>
              <w:t>Aaker, David A</w:t>
            </w:r>
            <w:r w:rsidRPr="006D5FAE">
              <w:rPr>
                <w:bCs/>
                <w:sz w:val="22"/>
                <w:szCs w:val="22"/>
                <w:lang w:val="vi-VN"/>
              </w:rPr>
              <w:t xml:space="preserve"> (1996), “Measuring brand equity across products and markets”, </w:t>
            </w:r>
            <w:r w:rsidRPr="006D5FAE">
              <w:rPr>
                <w:i/>
                <w:iCs/>
                <w:sz w:val="22"/>
                <w:szCs w:val="22"/>
                <w:lang w:val="vi-VN"/>
              </w:rPr>
              <w:t xml:space="preserve">California Management Review, </w:t>
            </w:r>
            <w:r w:rsidRPr="006D5FAE">
              <w:rPr>
                <w:sz w:val="22"/>
                <w:szCs w:val="22"/>
                <w:lang w:val="vi-VN"/>
              </w:rPr>
              <w:t>38(3(, 102-120</w:t>
            </w:r>
            <w:r w:rsidRPr="006D5FAE">
              <w:rPr>
                <w:sz w:val="22"/>
                <w:szCs w:val="22"/>
                <w:lang w:val="en-GB"/>
              </w:rPr>
              <w:t>.</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14)</w:t>
            </w:r>
          </w:p>
        </w:tc>
        <w:tc>
          <w:tcPr>
            <w:tcW w:w="8766" w:type="dxa"/>
            <w:gridSpan w:val="4"/>
          </w:tcPr>
          <w:p w:rsidR="006A4775" w:rsidRPr="006D5FAE" w:rsidRDefault="006A4775" w:rsidP="006674DC">
            <w:pPr>
              <w:spacing w:before="120"/>
              <w:jc w:val="both"/>
              <w:rPr>
                <w:lang w:val="vi-VN"/>
              </w:rPr>
            </w:pPr>
            <w:r w:rsidRPr="006D5FAE">
              <w:rPr>
                <w:sz w:val="22"/>
                <w:szCs w:val="22"/>
                <w:lang w:val="vi-VN"/>
              </w:rPr>
              <w:t>Richard G. Netemeyer, Balaji Krishnan, Chris Pullig, Guangping Wang, Mehmet Yagci, Dwane Dean, Joe Ricks, Ferdinand Wirth</w:t>
            </w:r>
            <w:r w:rsidRPr="006D5FAE">
              <w:rPr>
                <w:bCs/>
                <w:sz w:val="22"/>
                <w:szCs w:val="22"/>
                <w:lang w:val="vi-VN"/>
              </w:rPr>
              <w:t xml:space="preserve"> (2004), “Developing and validating measures of facets of customer-based brand equity”, </w:t>
            </w:r>
            <w:r w:rsidRPr="006D5FAE">
              <w:rPr>
                <w:i/>
                <w:iCs/>
                <w:sz w:val="22"/>
                <w:szCs w:val="22"/>
                <w:lang w:val="vi-VN"/>
              </w:rPr>
              <w:t xml:space="preserve">Journal of Business Research, </w:t>
            </w:r>
            <w:r w:rsidRPr="006D5FAE">
              <w:rPr>
                <w:sz w:val="22"/>
                <w:szCs w:val="22"/>
                <w:lang w:val="vi-VN"/>
              </w:rPr>
              <w:t>57, 209– 224.</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15)</w:t>
            </w:r>
          </w:p>
        </w:tc>
        <w:tc>
          <w:tcPr>
            <w:tcW w:w="8766" w:type="dxa"/>
            <w:gridSpan w:val="4"/>
          </w:tcPr>
          <w:p w:rsidR="006A4775" w:rsidRPr="006D5FAE" w:rsidRDefault="006A4775" w:rsidP="006674DC">
            <w:pPr>
              <w:spacing w:before="120"/>
              <w:jc w:val="both"/>
              <w:rPr>
                <w:lang w:val="en-GB"/>
              </w:rPr>
            </w:pPr>
            <w:r w:rsidRPr="006D5FAE">
              <w:rPr>
                <w:sz w:val="22"/>
                <w:szCs w:val="22"/>
                <w:lang w:val="vi-VN"/>
              </w:rPr>
              <w:t>Rodolfo Vázquez, A. Belén del, Río, and Víctor Iglesias</w:t>
            </w:r>
            <w:r w:rsidRPr="006D5FAE">
              <w:rPr>
                <w:bCs/>
                <w:sz w:val="22"/>
                <w:szCs w:val="22"/>
                <w:lang w:val="vi-VN"/>
              </w:rPr>
              <w:t xml:space="preserve"> (2002), “Consumer-based Brand Equity: Development and Validation of a Measurement Instrument”, </w:t>
            </w:r>
            <w:r w:rsidRPr="006D5FAE">
              <w:rPr>
                <w:i/>
                <w:iCs/>
                <w:sz w:val="22"/>
                <w:szCs w:val="22"/>
                <w:lang w:val="vi-VN"/>
              </w:rPr>
              <w:t>Journal of Marketing Management</w:t>
            </w:r>
            <w:r w:rsidRPr="006D5FAE">
              <w:rPr>
                <w:sz w:val="22"/>
                <w:szCs w:val="22"/>
                <w:lang w:val="vi-VN"/>
              </w:rPr>
              <w:t xml:space="preserve">, </w:t>
            </w:r>
            <w:r w:rsidRPr="006D5FAE">
              <w:rPr>
                <w:bCs/>
                <w:sz w:val="22"/>
                <w:szCs w:val="22"/>
                <w:lang w:val="vi-VN"/>
              </w:rPr>
              <w:t>18</w:t>
            </w:r>
            <w:r w:rsidRPr="006D5FAE">
              <w:rPr>
                <w:sz w:val="22"/>
                <w:szCs w:val="22"/>
                <w:lang w:val="vi-VN"/>
              </w:rPr>
              <w:t>, 27-48</w:t>
            </w:r>
            <w:r w:rsidRPr="006D5FAE">
              <w:rPr>
                <w:sz w:val="22"/>
                <w:szCs w:val="22"/>
                <w:lang w:val="en-GB"/>
              </w:rPr>
              <w:t>.</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16)</w:t>
            </w:r>
          </w:p>
        </w:tc>
        <w:tc>
          <w:tcPr>
            <w:tcW w:w="8766" w:type="dxa"/>
            <w:gridSpan w:val="4"/>
          </w:tcPr>
          <w:p w:rsidR="006A4775" w:rsidRPr="006D5FAE" w:rsidRDefault="006A4775" w:rsidP="006674DC">
            <w:pPr>
              <w:spacing w:before="120"/>
              <w:jc w:val="both"/>
              <w:rPr>
                <w:lang w:val="en-GB"/>
              </w:rPr>
            </w:pPr>
            <w:r w:rsidRPr="006D5FAE">
              <w:rPr>
                <w:sz w:val="22"/>
                <w:szCs w:val="22"/>
                <w:lang w:val="vi-VN"/>
              </w:rPr>
              <w:t>Matthew Thomson, Deborah J. MacInnis and C. Whan Park</w:t>
            </w:r>
            <w:r w:rsidRPr="006D5FAE">
              <w:rPr>
                <w:bCs/>
                <w:sz w:val="22"/>
                <w:szCs w:val="22"/>
                <w:lang w:val="vi-VN"/>
              </w:rPr>
              <w:t xml:space="preserve"> (2005), “The Ties That Bind: Measuring the Strength of Consumers’ Emotional Attachments to Brands”, </w:t>
            </w:r>
            <w:r w:rsidRPr="006D5FAE">
              <w:rPr>
                <w:i/>
                <w:iCs/>
                <w:sz w:val="22"/>
                <w:szCs w:val="22"/>
                <w:lang w:val="vi-VN"/>
              </w:rPr>
              <w:t xml:space="preserve">Journal of Consumer Psychology, </w:t>
            </w:r>
            <w:r w:rsidRPr="006D5FAE">
              <w:rPr>
                <w:iCs/>
                <w:sz w:val="22"/>
                <w:szCs w:val="22"/>
                <w:lang w:val="vi-VN"/>
              </w:rPr>
              <w:t>15</w:t>
            </w:r>
            <w:r w:rsidRPr="006D5FAE">
              <w:rPr>
                <w:sz w:val="22"/>
                <w:szCs w:val="22"/>
                <w:lang w:val="vi-VN"/>
              </w:rPr>
              <w:t>(1), 77–91</w:t>
            </w:r>
            <w:r w:rsidRPr="006D5FAE">
              <w:rPr>
                <w:sz w:val="22"/>
                <w:szCs w:val="22"/>
                <w:lang w:val="en-GB"/>
              </w:rPr>
              <w:t>.</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17)</w:t>
            </w:r>
          </w:p>
        </w:tc>
        <w:tc>
          <w:tcPr>
            <w:tcW w:w="8766" w:type="dxa"/>
            <w:gridSpan w:val="4"/>
          </w:tcPr>
          <w:p w:rsidR="006A4775" w:rsidRPr="006D5FAE" w:rsidRDefault="006A4775" w:rsidP="006674DC">
            <w:pPr>
              <w:spacing w:before="120"/>
              <w:jc w:val="both"/>
              <w:rPr>
                <w:lang w:val="en-GB"/>
              </w:rPr>
            </w:pPr>
            <w:r w:rsidRPr="006D5FAE">
              <w:rPr>
                <w:sz w:val="22"/>
                <w:szCs w:val="22"/>
                <w:lang w:val="vi-VN"/>
              </w:rPr>
              <w:t>Elena Delgado-Ballester and Jose´ Luis Munuera-Aleman</w:t>
            </w:r>
            <w:r w:rsidRPr="006D5FAE">
              <w:rPr>
                <w:bCs/>
                <w:sz w:val="22"/>
                <w:szCs w:val="22"/>
                <w:lang w:val="vi-VN"/>
              </w:rPr>
              <w:t xml:space="preserve"> (2005), “Does brand trust matter to brand equity?”, </w:t>
            </w:r>
            <w:r w:rsidRPr="006D5FAE">
              <w:rPr>
                <w:i/>
                <w:iCs/>
                <w:sz w:val="22"/>
                <w:szCs w:val="22"/>
                <w:lang w:val="vi-VN"/>
              </w:rPr>
              <w:t>Journal of Product &amp; Brand Management</w:t>
            </w:r>
            <w:r w:rsidRPr="006D5FAE">
              <w:rPr>
                <w:sz w:val="22"/>
                <w:szCs w:val="22"/>
                <w:lang w:val="vi-VN"/>
              </w:rPr>
              <w:t>, 4/3, 187–196</w:t>
            </w:r>
            <w:r w:rsidRPr="006D5FAE">
              <w:rPr>
                <w:sz w:val="22"/>
                <w:szCs w:val="22"/>
                <w:lang w:val="en-GB"/>
              </w:rPr>
              <w:t>.</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18)</w:t>
            </w:r>
          </w:p>
        </w:tc>
        <w:tc>
          <w:tcPr>
            <w:tcW w:w="8766" w:type="dxa"/>
            <w:gridSpan w:val="4"/>
          </w:tcPr>
          <w:p w:rsidR="006A4775" w:rsidRPr="006D5FAE" w:rsidRDefault="006A4775" w:rsidP="006674DC">
            <w:pPr>
              <w:spacing w:before="120"/>
              <w:jc w:val="both"/>
              <w:rPr>
                <w:lang w:val="en-GB"/>
              </w:rPr>
            </w:pPr>
            <w:r w:rsidRPr="006D5FAE">
              <w:rPr>
                <w:sz w:val="22"/>
                <w:szCs w:val="22"/>
                <w:lang w:val="vi-VN"/>
              </w:rPr>
              <w:t>Norjaya Mohd Yasin, Mohd Nasser Noor, Osman Mohamad (2000), “</w:t>
            </w:r>
            <w:r w:rsidRPr="006D5FAE">
              <w:rPr>
                <w:bCs/>
                <w:sz w:val="22"/>
                <w:szCs w:val="22"/>
                <w:lang w:val="vi-VN"/>
              </w:rPr>
              <w:t xml:space="preserve">Does image of country-of-origin matter to brand equity?”, </w:t>
            </w:r>
            <w:r w:rsidRPr="006D5FAE">
              <w:rPr>
                <w:i/>
                <w:iCs/>
                <w:sz w:val="22"/>
                <w:szCs w:val="22"/>
                <w:lang w:val="vi-VN"/>
              </w:rPr>
              <w:t xml:space="preserve">Journal of Product &amp; Brand Management, </w:t>
            </w:r>
            <w:r w:rsidRPr="006D5FAE">
              <w:rPr>
                <w:sz w:val="22"/>
                <w:szCs w:val="22"/>
                <w:lang w:val="vi-VN"/>
              </w:rPr>
              <w:t>16 (1), 38–48</w:t>
            </w:r>
            <w:r w:rsidRPr="006D5FAE">
              <w:rPr>
                <w:sz w:val="22"/>
                <w:szCs w:val="22"/>
                <w:lang w:val="en-GB"/>
              </w:rPr>
              <w:t>.</w:t>
            </w:r>
          </w:p>
        </w:tc>
      </w:tr>
      <w:tr w:rsidR="006A4775" w:rsidRPr="006D5FAE">
        <w:tc>
          <w:tcPr>
            <w:tcW w:w="746" w:type="dxa"/>
          </w:tcPr>
          <w:p w:rsidR="006A4775" w:rsidRPr="006D5FAE" w:rsidRDefault="006A4775" w:rsidP="006674DC">
            <w:pPr>
              <w:widowControl w:val="0"/>
              <w:spacing w:before="120"/>
              <w:jc w:val="right"/>
              <w:rPr>
                <w:lang w:val="vi-VN"/>
              </w:rPr>
            </w:pPr>
          </w:p>
        </w:tc>
        <w:tc>
          <w:tcPr>
            <w:tcW w:w="8766" w:type="dxa"/>
            <w:gridSpan w:val="4"/>
          </w:tcPr>
          <w:p w:rsidR="006A4775" w:rsidRPr="006D5FAE" w:rsidRDefault="006A4775" w:rsidP="006674DC">
            <w:pPr>
              <w:spacing w:before="120"/>
              <w:jc w:val="both"/>
              <w:rPr>
                <w:lang w:val="en-GB"/>
              </w:rPr>
            </w:pPr>
            <w:r w:rsidRPr="006D5FAE">
              <w:rPr>
                <w:sz w:val="22"/>
                <w:szCs w:val="22"/>
                <w:lang w:val="vi-VN"/>
              </w:rPr>
              <w:t>Boonghee Yoo; Naveen Donthu; Sungho Lee</w:t>
            </w:r>
            <w:r w:rsidRPr="006D5FAE">
              <w:rPr>
                <w:bCs/>
                <w:sz w:val="22"/>
                <w:szCs w:val="22"/>
                <w:lang w:val="vi-VN"/>
              </w:rPr>
              <w:t xml:space="preserve">  (2000), “An examination of selected marketing mix elements and brand equity”, </w:t>
            </w:r>
            <w:r w:rsidRPr="006D5FAE">
              <w:rPr>
                <w:i/>
                <w:iCs/>
                <w:sz w:val="22"/>
                <w:szCs w:val="22"/>
                <w:lang w:val="vi-VN"/>
              </w:rPr>
              <w:t xml:space="preserve">Academy of Marketing Science. Journal, </w:t>
            </w:r>
            <w:r w:rsidRPr="006D5FAE">
              <w:rPr>
                <w:sz w:val="22"/>
                <w:szCs w:val="22"/>
                <w:lang w:val="vi-VN"/>
              </w:rPr>
              <w:t>28(2), 195-211</w:t>
            </w:r>
            <w:r w:rsidRPr="006D5FAE">
              <w:rPr>
                <w:sz w:val="22"/>
                <w:szCs w:val="22"/>
                <w:lang w:val="en-GB"/>
              </w:rPr>
              <w:t>.</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19)</w:t>
            </w:r>
          </w:p>
        </w:tc>
        <w:tc>
          <w:tcPr>
            <w:tcW w:w="8766" w:type="dxa"/>
            <w:gridSpan w:val="4"/>
          </w:tcPr>
          <w:p w:rsidR="006A4775" w:rsidRPr="006D5FAE" w:rsidRDefault="006A4775" w:rsidP="006674DC">
            <w:pPr>
              <w:spacing w:before="120"/>
              <w:jc w:val="both"/>
              <w:rPr>
                <w:lang w:val="en-GB"/>
              </w:rPr>
            </w:pPr>
            <w:r w:rsidRPr="006D5FAE">
              <w:rPr>
                <w:sz w:val="22"/>
                <w:szCs w:val="22"/>
                <w:lang w:val="vi-VN"/>
              </w:rPr>
              <w:t>Angel Fco. Villarejo-Ramos (2005), “</w:t>
            </w:r>
            <w:r w:rsidRPr="006D5FAE">
              <w:rPr>
                <w:bCs/>
                <w:sz w:val="22"/>
                <w:szCs w:val="22"/>
                <w:lang w:val="vi-VN"/>
              </w:rPr>
              <w:t xml:space="preserve">The impact of marketing communication and price promotion on brand equity”, </w:t>
            </w:r>
            <w:r w:rsidRPr="006D5FAE">
              <w:rPr>
                <w:i/>
                <w:iCs/>
                <w:sz w:val="22"/>
                <w:szCs w:val="22"/>
                <w:lang w:val="vi-VN"/>
              </w:rPr>
              <w:t>Brand management,</w:t>
            </w:r>
            <w:r w:rsidRPr="006D5FAE">
              <w:rPr>
                <w:bCs/>
                <w:sz w:val="22"/>
                <w:szCs w:val="22"/>
                <w:lang w:val="vi-VN"/>
              </w:rPr>
              <w:t xml:space="preserve"> 1</w:t>
            </w:r>
            <w:r w:rsidRPr="006D5FAE">
              <w:rPr>
                <w:sz w:val="22"/>
                <w:szCs w:val="22"/>
                <w:lang w:val="vi-VN"/>
              </w:rPr>
              <w:t>2 (6), 431–444</w:t>
            </w:r>
            <w:r w:rsidRPr="006D5FAE">
              <w:rPr>
                <w:sz w:val="22"/>
                <w:szCs w:val="22"/>
                <w:lang w:val="en-GB"/>
              </w:rPr>
              <w:t>.</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20)</w:t>
            </w:r>
          </w:p>
        </w:tc>
        <w:tc>
          <w:tcPr>
            <w:tcW w:w="8766" w:type="dxa"/>
            <w:gridSpan w:val="4"/>
          </w:tcPr>
          <w:p w:rsidR="006A4775" w:rsidRPr="006D5FAE" w:rsidRDefault="006A4775" w:rsidP="006674DC">
            <w:pPr>
              <w:spacing w:before="120"/>
              <w:jc w:val="both"/>
              <w:rPr>
                <w:lang w:val="en-GB"/>
              </w:rPr>
            </w:pPr>
            <w:r w:rsidRPr="006D5FAE">
              <w:rPr>
                <w:sz w:val="22"/>
                <w:szCs w:val="22"/>
                <w:lang w:val="vi-VN"/>
              </w:rPr>
              <w:t>Jos Lemmink, Annelien Schuijf, Sandra Streukens (2003), “</w:t>
            </w:r>
            <w:r w:rsidRPr="006D5FAE">
              <w:rPr>
                <w:bCs/>
                <w:sz w:val="22"/>
                <w:szCs w:val="22"/>
                <w:lang w:val="vi-VN"/>
              </w:rPr>
              <w:t xml:space="preserve">The role of corporate image and company employment image in explaining application intentions”, </w:t>
            </w:r>
            <w:r w:rsidRPr="006D5FAE">
              <w:rPr>
                <w:i/>
                <w:iCs/>
                <w:sz w:val="22"/>
                <w:szCs w:val="22"/>
                <w:lang w:val="vi-VN"/>
              </w:rPr>
              <w:t xml:space="preserve">Journal of Economic Psychology, </w:t>
            </w:r>
            <w:r w:rsidRPr="006D5FAE">
              <w:rPr>
                <w:sz w:val="22"/>
                <w:szCs w:val="22"/>
                <w:lang w:val="vi-VN"/>
              </w:rPr>
              <w:t>24, 1–15</w:t>
            </w:r>
            <w:r w:rsidRPr="006D5FAE">
              <w:rPr>
                <w:sz w:val="22"/>
                <w:szCs w:val="22"/>
                <w:lang w:val="en-GB"/>
              </w:rPr>
              <w:t>.</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21)</w:t>
            </w:r>
          </w:p>
        </w:tc>
        <w:tc>
          <w:tcPr>
            <w:tcW w:w="8766" w:type="dxa"/>
            <w:gridSpan w:val="4"/>
          </w:tcPr>
          <w:p w:rsidR="006A4775" w:rsidRPr="006D5FAE" w:rsidRDefault="006A4775" w:rsidP="006674DC">
            <w:pPr>
              <w:spacing w:before="120"/>
              <w:jc w:val="both"/>
              <w:rPr>
                <w:lang w:val="vi-VN"/>
              </w:rPr>
            </w:pPr>
            <w:r w:rsidRPr="006D5FAE">
              <w:rPr>
                <w:sz w:val="22"/>
                <w:szCs w:val="22"/>
                <w:lang w:val="vi-VN"/>
              </w:rPr>
              <w:t>Tor Wallin Andreassen, Bodil Lindestad</w:t>
            </w:r>
            <w:r w:rsidRPr="006D5FAE">
              <w:rPr>
                <w:bCs/>
                <w:sz w:val="22"/>
                <w:szCs w:val="22"/>
                <w:lang w:val="vi-VN"/>
              </w:rPr>
              <w:t xml:space="preserve"> (1998), “Customer loyalty and complex services: The impact of corporate image on quality, customer satisfaction and loyalty for customers with varying degrees of service expertise”, </w:t>
            </w:r>
            <w:r w:rsidRPr="006D5FAE">
              <w:rPr>
                <w:i/>
                <w:iCs/>
                <w:sz w:val="22"/>
                <w:szCs w:val="22"/>
                <w:lang w:val="vi-VN"/>
              </w:rPr>
              <w:t>International Journal of Service Industry Management</w:t>
            </w:r>
            <w:r w:rsidRPr="006D5FAE">
              <w:rPr>
                <w:sz w:val="22"/>
                <w:szCs w:val="22"/>
                <w:lang w:val="vi-VN"/>
              </w:rPr>
              <w:t>, 9(1), 7-23.</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22)</w:t>
            </w:r>
          </w:p>
        </w:tc>
        <w:tc>
          <w:tcPr>
            <w:tcW w:w="8766" w:type="dxa"/>
            <w:gridSpan w:val="4"/>
          </w:tcPr>
          <w:p w:rsidR="006A4775" w:rsidRPr="006D5FAE" w:rsidRDefault="006A4775" w:rsidP="006674DC">
            <w:pPr>
              <w:spacing w:before="120"/>
              <w:jc w:val="both"/>
              <w:rPr>
                <w:lang w:val="en-GB"/>
              </w:rPr>
            </w:pPr>
            <w:r w:rsidRPr="006D5FAE">
              <w:rPr>
                <w:sz w:val="22"/>
                <w:szCs w:val="22"/>
                <w:lang w:val="vi-VN"/>
              </w:rPr>
              <w:t>Anca E. Cretu, Roderick J. Brodie</w:t>
            </w:r>
            <w:r w:rsidRPr="006D5FAE">
              <w:rPr>
                <w:bCs/>
                <w:sz w:val="22"/>
                <w:szCs w:val="22"/>
                <w:lang w:val="vi-VN"/>
              </w:rPr>
              <w:t xml:space="preserve">  (2007), “The influence of brand image and company reputation where manufacturers market to small firms: A customer value perspective”,  </w:t>
            </w:r>
            <w:r w:rsidRPr="006D5FAE">
              <w:rPr>
                <w:i/>
                <w:iCs/>
                <w:sz w:val="22"/>
                <w:szCs w:val="22"/>
                <w:lang w:val="vi-VN"/>
              </w:rPr>
              <w:t xml:space="preserve">Industrial Marketing Management, </w:t>
            </w:r>
            <w:r w:rsidRPr="006D5FAE">
              <w:rPr>
                <w:sz w:val="22"/>
                <w:szCs w:val="22"/>
                <w:lang w:val="vi-VN"/>
              </w:rPr>
              <w:t>36, 230 – 240</w:t>
            </w:r>
            <w:r w:rsidRPr="006D5FAE">
              <w:rPr>
                <w:sz w:val="22"/>
                <w:szCs w:val="22"/>
                <w:lang w:val="en-GB"/>
              </w:rPr>
              <w:t>.</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23)</w:t>
            </w:r>
          </w:p>
        </w:tc>
        <w:tc>
          <w:tcPr>
            <w:tcW w:w="8766" w:type="dxa"/>
            <w:gridSpan w:val="4"/>
          </w:tcPr>
          <w:p w:rsidR="006A4775" w:rsidRPr="006D5FAE" w:rsidRDefault="006A4775" w:rsidP="006674DC">
            <w:pPr>
              <w:spacing w:before="120"/>
              <w:jc w:val="both"/>
              <w:rPr>
                <w:lang w:val="en-GB"/>
              </w:rPr>
            </w:pPr>
            <w:r w:rsidRPr="006D5FAE">
              <w:rPr>
                <w:sz w:val="22"/>
                <w:szCs w:val="22"/>
                <w:lang w:val="vi-VN"/>
              </w:rPr>
              <w:t>A. Parasuraman, V.A.  Zeithaml, LL. Berry (1994), “</w:t>
            </w:r>
            <w:r w:rsidRPr="006D5FAE">
              <w:rPr>
                <w:bCs/>
                <w:sz w:val="22"/>
                <w:szCs w:val="22"/>
                <w:lang w:val="vi-VN"/>
              </w:rPr>
              <w:t xml:space="preserve">Alternative Scales for Measuring Service Quality: A Comparative Assessment Based on Psychometric and Diagnostic Criteria”, </w:t>
            </w:r>
            <w:r w:rsidRPr="006D5FAE">
              <w:rPr>
                <w:i/>
                <w:iCs/>
                <w:sz w:val="22"/>
                <w:szCs w:val="22"/>
                <w:lang w:val="vi-VN"/>
              </w:rPr>
              <w:t>Journal of Retailing,</w:t>
            </w:r>
            <w:r w:rsidRPr="006D5FAE">
              <w:rPr>
                <w:sz w:val="22"/>
                <w:szCs w:val="22"/>
                <w:lang w:val="vi-VN"/>
              </w:rPr>
              <w:t xml:space="preserve"> 70(3), 201-230</w:t>
            </w:r>
            <w:r w:rsidRPr="006D5FAE">
              <w:rPr>
                <w:sz w:val="22"/>
                <w:szCs w:val="22"/>
                <w:lang w:val="en-GB"/>
              </w:rPr>
              <w:t>.</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t>24)</w:t>
            </w:r>
          </w:p>
        </w:tc>
        <w:tc>
          <w:tcPr>
            <w:tcW w:w="8766" w:type="dxa"/>
            <w:gridSpan w:val="4"/>
          </w:tcPr>
          <w:p w:rsidR="006A4775" w:rsidRPr="006D5FAE" w:rsidRDefault="006A4775" w:rsidP="006674DC">
            <w:pPr>
              <w:spacing w:before="120"/>
              <w:jc w:val="both"/>
              <w:rPr>
                <w:lang w:val="en-GB"/>
              </w:rPr>
            </w:pPr>
            <w:r w:rsidRPr="006D5FAE">
              <w:rPr>
                <w:sz w:val="22"/>
                <w:szCs w:val="22"/>
                <w:lang w:val="vi-VN"/>
              </w:rPr>
              <w:t>Merrie Brucks, Valarie A. Zeithaml and Gillian Naylor</w:t>
            </w:r>
            <w:r w:rsidRPr="006D5FAE">
              <w:rPr>
                <w:bCs/>
                <w:sz w:val="22"/>
                <w:szCs w:val="22"/>
                <w:lang w:val="vi-VN"/>
              </w:rPr>
              <w:t xml:space="preserve"> (2001), “Price and Brand Name As Indicators of Quality Dimensions for Consumer Durables</w:t>
            </w:r>
            <w:r w:rsidRPr="006D5FAE">
              <w:rPr>
                <w:i/>
                <w:iCs/>
                <w:sz w:val="22"/>
                <w:szCs w:val="22"/>
                <w:lang w:val="vi-VN"/>
              </w:rPr>
              <w:t>”, Journal of the Academy of Marketing Science,</w:t>
            </w:r>
            <w:r w:rsidRPr="006D5FAE">
              <w:rPr>
                <w:sz w:val="22"/>
                <w:szCs w:val="22"/>
                <w:lang w:val="vi-VN"/>
              </w:rPr>
              <w:t xml:space="preserve"> 28, 359-374</w:t>
            </w:r>
            <w:r w:rsidRPr="006D5FAE">
              <w:rPr>
                <w:sz w:val="22"/>
                <w:szCs w:val="22"/>
                <w:lang w:val="en-GB"/>
              </w:rPr>
              <w:t>.</w:t>
            </w:r>
          </w:p>
        </w:tc>
      </w:tr>
      <w:tr w:rsidR="006A4775" w:rsidRPr="006D5FAE">
        <w:tc>
          <w:tcPr>
            <w:tcW w:w="746" w:type="dxa"/>
          </w:tcPr>
          <w:p w:rsidR="006A4775" w:rsidRPr="006D5FAE" w:rsidRDefault="006A4775" w:rsidP="006674DC">
            <w:pPr>
              <w:widowControl w:val="0"/>
              <w:spacing w:before="120"/>
              <w:jc w:val="right"/>
              <w:rPr>
                <w:lang w:val="vi-VN"/>
              </w:rPr>
            </w:pPr>
            <w:r w:rsidRPr="006D5FAE">
              <w:rPr>
                <w:sz w:val="22"/>
                <w:szCs w:val="22"/>
                <w:lang w:val="vi-VN"/>
              </w:rPr>
              <w:lastRenderedPageBreak/>
              <w:t>25)</w:t>
            </w:r>
          </w:p>
        </w:tc>
        <w:tc>
          <w:tcPr>
            <w:tcW w:w="8766" w:type="dxa"/>
            <w:gridSpan w:val="4"/>
          </w:tcPr>
          <w:p w:rsidR="006A4775" w:rsidRPr="006D5FAE" w:rsidRDefault="006A4775" w:rsidP="006674DC">
            <w:pPr>
              <w:spacing w:before="120"/>
              <w:jc w:val="both"/>
              <w:rPr>
                <w:lang w:val="en-GB"/>
              </w:rPr>
            </w:pPr>
            <w:r w:rsidRPr="006D5FAE">
              <w:rPr>
                <w:sz w:val="22"/>
                <w:szCs w:val="22"/>
                <w:lang w:val="vi-VN"/>
              </w:rPr>
              <w:t>Jennifer Lynn Aaker, Veronica Benet-Martinez, Jordi Garolera</w:t>
            </w:r>
            <w:r w:rsidRPr="006D5FAE">
              <w:rPr>
                <w:bCs/>
                <w:sz w:val="22"/>
                <w:szCs w:val="22"/>
                <w:lang w:val="vi-VN"/>
              </w:rPr>
              <w:t xml:space="preserve"> (2001), “Consumption Symbols as Carriers of Culture: A Study of Japanese and Spanish Brand Personality Constructs”, </w:t>
            </w:r>
            <w:r w:rsidRPr="006D5FAE">
              <w:rPr>
                <w:i/>
                <w:iCs/>
                <w:sz w:val="22"/>
                <w:szCs w:val="22"/>
                <w:lang w:val="vi-VN"/>
              </w:rPr>
              <w:t>Journal of Personality and Social Psychology</w:t>
            </w:r>
            <w:r w:rsidRPr="006D5FAE">
              <w:rPr>
                <w:sz w:val="22"/>
                <w:szCs w:val="22"/>
                <w:lang w:val="vi-VN"/>
              </w:rPr>
              <w:t>, 81(3), 492-508</w:t>
            </w:r>
            <w:r w:rsidRPr="006D5FAE">
              <w:rPr>
                <w:sz w:val="22"/>
                <w:szCs w:val="22"/>
                <w:lang w:val="en-GB"/>
              </w:rPr>
              <w:t>.</w:t>
            </w:r>
          </w:p>
        </w:tc>
      </w:tr>
    </w:tbl>
    <w:p w:rsidR="006A4775" w:rsidRDefault="006A4775" w:rsidP="006674DC">
      <w:pPr>
        <w:spacing w:before="120"/>
      </w:pPr>
    </w:p>
    <w:tbl>
      <w:tblPr>
        <w:tblW w:w="9512" w:type="dxa"/>
        <w:tblInd w:w="70" w:type="dxa"/>
        <w:tblLayout w:type="fixed"/>
        <w:tblLook w:val="01E0" w:firstRow="1" w:lastRow="1" w:firstColumn="1" w:lastColumn="1" w:noHBand="0" w:noVBand="0"/>
      </w:tblPr>
      <w:tblGrid>
        <w:gridCol w:w="746"/>
        <w:gridCol w:w="4738"/>
        <w:gridCol w:w="2021"/>
        <w:gridCol w:w="2007"/>
      </w:tblGrid>
      <w:tr w:rsidR="006A4775" w:rsidRPr="006D5FAE">
        <w:tc>
          <w:tcPr>
            <w:tcW w:w="746" w:type="dxa"/>
            <w:tcBorders>
              <w:bottom w:val="single" w:sz="4" w:space="0" w:color="auto"/>
            </w:tcBorders>
          </w:tcPr>
          <w:p w:rsidR="006A4775" w:rsidRPr="006D5FAE" w:rsidRDefault="006A4775" w:rsidP="006674DC">
            <w:pPr>
              <w:widowControl w:val="0"/>
              <w:spacing w:before="120"/>
              <w:jc w:val="both"/>
              <w:rPr>
                <w:b/>
                <w:lang w:val="vi-VN"/>
              </w:rPr>
            </w:pPr>
            <w:r w:rsidRPr="006D5FAE">
              <w:rPr>
                <w:b/>
                <w:sz w:val="22"/>
                <w:szCs w:val="22"/>
                <w:lang w:val="vi-VN"/>
              </w:rPr>
              <w:t>7.</w:t>
            </w:r>
          </w:p>
        </w:tc>
        <w:tc>
          <w:tcPr>
            <w:tcW w:w="8766" w:type="dxa"/>
            <w:gridSpan w:val="3"/>
            <w:tcBorders>
              <w:bottom w:val="single" w:sz="4" w:space="0" w:color="auto"/>
            </w:tcBorders>
          </w:tcPr>
          <w:p w:rsidR="006A4775" w:rsidRPr="006D5FAE" w:rsidRDefault="006A4775" w:rsidP="006674DC">
            <w:pPr>
              <w:widowControl w:val="0"/>
              <w:spacing w:before="120"/>
              <w:jc w:val="both"/>
              <w:rPr>
                <w:b/>
                <w:lang w:val="vi-VN"/>
              </w:rPr>
            </w:pPr>
            <w:r w:rsidRPr="006D5FAE">
              <w:rPr>
                <w:b/>
                <w:sz w:val="22"/>
                <w:szCs w:val="22"/>
                <w:lang w:val="vi-VN"/>
              </w:rPr>
              <w:t>Kiểm tra và Đánh giá</w:t>
            </w:r>
          </w:p>
        </w:tc>
      </w:tr>
      <w:tr w:rsidR="006A4775" w:rsidRPr="006D5FAE">
        <w:tc>
          <w:tcPr>
            <w:tcW w:w="746" w:type="dxa"/>
            <w:tcBorders>
              <w:top w:val="single" w:sz="4" w:space="0" w:color="auto"/>
              <w:left w:val="single" w:sz="4" w:space="0" w:color="auto"/>
              <w:bottom w:val="single" w:sz="4" w:space="0" w:color="auto"/>
              <w:right w:val="single" w:sz="4" w:space="0" w:color="auto"/>
            </w:tcBorders>
          </w:tcPr>
          <w:p w:rsidR="006A4775" w:rsidRPr="006D5FAE" w:rsidRDefault="006A4775" w:rsidP="006674DC">
            <w:pPr>
              <w:widowControl w:val="0"/>
              <w:spacing w:before="120"/>
              <w:jc w:val="center"/>
              <w:rPr>
                <w:b/>
                <w:bCs/>
                <w:lang w:val="vi-VN"/>
              </w:rPr>
            </w:pPr>
            <w:r w:rsidRPr="006D5FAE">
              <w:rPr>
                <w:b/>
                <w:bCs/>
                <w:sz w:val="22"/>
                <w:szCs w:val="22"/>
                <w:lang w:val="vi-VN"/>
              </w:rPr>
              <w:t>TT</w:t>
            </w:r>
          </w:p>
        </w:tc>
        <w:tc>
          <w:tcPr>
            <w:tcW w:w="4738" w:type="dxa"/>
            <w:tcBorders>
              <w:top w:val="single" w:sz="4" w:space="0" w:color="auto"/>
              <w:left w:val="single" w:sz="4" w:space="0" w:color="auto"/>
              <w:bottom w:val="single" w:sz="4" w:space="0" w:color="auto"/>
              <w:right w:val="single" w:sz="4" w:space="0" w:color="auto"/>
            </w:tcBorders>
          </w:tcPr>
          <w:p w:rsidR="006A4775" w:rsidRPr="006D5FAE" w:rsidRDefault="006A4775" w:rsidP="006674DC">
            <w:pPr>
              <w:widowControl w:val="0"/>
              <w:spacing w:before="120"/>
              <w:jc w:val="center"/>
              <w:rPr>
                <w:b/>
                <w:bCs/>
                <w:lang w:val="vi-VN"/>
              </w:rPr>
            </w:pPr>
            <w:r w:rsidRPr="006D5FAE">
              <w:rPr>
                <w:b/>
                <w:bCs/>
                <w:sz w:val="22"/>
                <w:szCs w:val="22"/>
                <w:lang w:val="vi-VN"/>
              </w:rPr>
              <w:t>Hình thức kiểm tra, đánh giá</w:t>
            </w:r>
          </w:p>
        </w:tc>
        <w:tc>
          <w:tcPr>
            <w:tcW w:w="2021" w:type="dxa"/>
            <w:tcBorders>
              <w:top w:val="single" w:sz="4" w:space="0" w:color="auto"/>
              <w:left w:val="single" w:sz="4" w:space="0" w:color="auto"/>
              <w:bottom w:val="single" w:sz="4" w:space="0" w:color="auto"/>
              <w:right w:val="single" w:sz="4" w:space="0" w:color="auto"/>
            </w:tcBorders>
          </w:tcPr>
          <w:p w:rsidR="006A4775" w:rsidRPr="006D5FAE" w:rsidRDefault="006A4775" w:rsidP="006674DC">
            <w:pPr>
              <w:widowControl w:val="0"/>
              <w:spacing w:before="120"/>
              <w:ind w:left="34"/>
              <w:jc w:val="center"/>
              <w:rPr>
                <w:b/>
                <w:bCs/>
                <w:lang w:val="vi-VN"/>
              </w:rPr>
            </w:pPr>
            <w:r w:rsidRPr="006D5FAE">
              <w:rPr>
                <w:b/>
                <w:bCs/>
                <w:sz w:val="22"/>
                <w:szCs w:val="22"/>
                <w:lang w:val="vi-VN"/>
              </w:rPr>
              <w:t>Nhằm đạt KQHT</w:t>
            </w:r>
          </w:p>
        </w:tc>
        <w:tc>
          <w:tcPr>
            <w:tcW w:w="2007" w:type="dxa"/>
            <w:tcBorders>
              <w:top w:val="single" w:sz="4" w:space="0" w:color="auto"/>
              <w:left w:val="single" w:sz="4" w:space="0" w:color="auto"/>
              <w:bottom w:val="single" w:sz="4" w:space="0" w:color="auto"/>
              <w:right w:val="single" w:sz="4" w:space="0" w:color="auto"/>
            </w:tcBorders>
          </w:tcPr>
          <w:p w:rsidR="006A4775" w:rsidRPr="006D5FAE" w:rsidRDefault="006A4775" w:rsidP="006674DC">
            <w:pPr>
              <w:widowControl w:val="0"/>
              <w:spacing w:before="120"/>
              <w:jc w:val="center"/>
              <w:rPr>
                <w:b/>
                <w:bCs/>
                <w:lang w:val="vi-VN"/>
              </w:rPr>
            </w:pPr>
            <w:r w:rsidRPr="006D5FAE">
              <w:rPr>
                <w:b/>
                <w:bCs/>
                <w:sz w:val="22"/>
                <w:szCs w:val="22"/>
                <w:lang w:val="vi-VN"/>
              </w:rPr>
              <w:t>Trọng số (</w:t>
            </w:r>
            <w:r w:rsidRPr="006D5FAE">
              <w:rPr>
                <w:sz w:val="22"/>
                <w:szCs w:val="22"/>
                <w:lang w:val="vi-VN"/>
              </w:rPr>
              <w:t>%)</w:t>
            </w:r>
          </w:p>
        </w:tc>
      </w:tr>
      <w:tr w:rsidR="006A4775" w:rsidRPr="006D5FAE">
        <w:tc>
          <w:tcPr>
            <w:tcW w:w="746" w:type="dxa"/>
            <w:tcBorders>
              <w:top w:val="single" w:sz="4" w:space="0" w:color="auto"/>
              <w:left w:val="single" w:sz="4" w:space="0" w:color="auto"/>
              <w:bottom w:val="single" w:sz="4" w:space="0" w:color="auto"/>
              <w:right w:val="single" w:sz="4" w:space="0" w:color="auto"/>
            </w:tcBorders>
          </w:tcPr>
          <w:p w:rsidR="006A4775" w:rsidRPr="006D5FAE" w:rsidRDefault="006A4775" w:rsidP="006674DC">
            <w:pPr>
              <w:widowControl w:val="0"/>
              <w:spacing w:before="120"/>
              <w:jc w:val="center"/>
              <w:rPr>
                <w:bCs/>
                <w:lang w:val="en-GB"/>
              </w:rPr>
            </w:pPr>
            <w:r w:rsidRPr="006D5FAE">
              <w:rPr>
                <w:bCs/>
                <w:sz w:val="22"/>
                <w:szCs w:val="22"/>
                <w:lang w:val="en-GB"/>
              </w:rPr>
              <w:t>1</w:t>
            </w:r>
          </w:p>
        </w:tc>
        <w:tc>
          <w:tcPr>
            <w:tcW w:w="4738" w:type="dxa"/>
            <w:tcBorders>
              <w:top w:val="single" w:sz="4" w:space="0" w:color="auto"/>
              <w:left w:val="single" w:sz="4" w:space="0" w:color="auto"/>
              <w:bottom w:val="single" w:sz="4" w:space="0" w:color="auto"/>
              <w:right w:val="single" w:sz="4" w:space="0" w:color="auto"/>
            </w:tcBorders>
          </w:tcPr>
          <w:p w:rsidR="006A4775" w:rsidRPr="006D5FAE" w:rsidRDefault="006A4775" w:rsidP="006674DC">
            <w:pPr>
              <w:widowControl w:val="0"/>
              <w:spacing w:before="120"/>
              <w:jc w:val="both"/>
              <w:rPr>
                <w:lang w:val="vi-VN"/>
              </w:rPr>
            </w:pPr>
            <w:r w:rsidRPr="006D5FAE">
              <w:rPr>
                <w:sz w:val="22"/>
                <w:szCs w:val="22"/>
                <w:lang w:val="vi-VN"/>
              </w:rPr>
              <w:t>Kiểm tra giữa kỳ</w:t>
            </w:r>
          </w:p>
        </w:tc>
        <w:tc>
          <w:tcPr>
            <w:tcW w:w="2021" w:type="dxa"/>
            <w:tcBorders>
              <w:top w:val="single" w:sz="4" w:space="0" w:color="auto"/>
              <w:left w:val="single" w:sz="4" w:space="0" w:color="auto"/>
              <w:bottom w:val="single" w:sz="4" w:space="0" w:color="auto"/>
              <w:right w:val="single" w:sz="4" w:space="0" w:color="auto"/>
            </w:tcBorders>
            <w:vAlign w:val="center"/>
          </w:tcPr>
          <w:p w:rsidR="006A4775" w:rsidRPr="006D5FAE" w:rsidRDefault="006A4775" w:rsidP="006674DC">
            <w:pPr>
              <w:widowControl w:val="0"/>
              <w:spacing w:before="120"/>
              <w:jc w:val="center"/>
              <w:rPr>
                <w:b/>
                <w:bCs/>
                <w:lang w:val="vi-VN"/>
              </w:rPr>
            </w:pPr>
            <w:r w:rsidRPr="006D5FAE">
              <w:rPr>
                <w:sz w:val="22"/>
                <w:szCs w:val="22"/>
                <w:lang w:val="vi-VN"/>
              </w:rPr>
              <w:t>1, 2, 3</w:t>
            </w:r>
          </w:p>
        </w:tc>
        <w:tc>
          <w:tcPr>
            <w:tcW w:w="2007" w:type="dxa"/>
            <w:tcBorders>
              <w:top w:val="single" w:sz="4" w:space="0" w:color="auto"/>
              <w:left w:val="single" w:sz="4" w:space="0" w:color="auto"/>
              <w:bottom w:val="single" w:sz="4" w:space="0" w:color="auto"/>
              <w:right w:val="single" w:sz="4" w:space="0" w:color="auto"/>
            </w:tcBorders>
          </w:tcPr>
          <w:p w:rsidR="006A4775" w:rsidRPr="006D5FAE" w:rsidRDefault="006A4775" w:rsidP="006674DC">
            <w:pPr>
              <w:widowControl w:val="0"/>
              <w:spacing w:before="120"/>
              <w:jc w:val="center"/>
              <w:rPr>
                <w:lang w:val="vi-VN"/>
              </w:rPr>
            </w:pPr>
            <w:r w:rsidRPr="006D5FAE">
              <w:rPr>
                <w:sz w:val="22"/>
                <w:szCs w:val="22"/>
                <w:lang w:val="vi-VN"/>
              </w:rPr>
              <w:t>10</w:t>
            </w:r>
          </w:p>
        </w:tc>
      </w:tr>
      <w:tr w:rsidR="006A4775" w:rsidRPr="006D5FAE">
        <w:tc>
          <w:tcPr>
            <w:tcW w:w="746" w:type="dxa"/>
            <w:tcBorders>
              <w:top w:val="single" w:sz="4" w:space="0" w:color="auto"/>
              <w:left w:val="single" w:sz="4" w:space="0" w:color="auto"/>
              <w:bottom w:val="single" w:sz="4" w:space="0" w:color="auto"/>
              <w:right w:val="single" w:sz="4" w:space="0" w:color="auto"/>
            </w:tcBorders>
          </w:tcPr>
          <w:p w:rsidR="006A4775" w:rsidRPr="006D5FAE" w:rsidRDefault="006A4775" w:rsidP="006674DC">
            <w:pPr>
              <w:widowControl w:val="0"/>
              <w:spacing w:before="120"/>
              <w:jc w:val="center"/>
              <w:rPr>
                <w:bCs/>
                <w:lang w:val="vi-VN"/>
              </w:rPr>
            </w:pPr>
            <w:r w:rsidRPr="006D5FAE">
              <w:rPr>
                <w:bCs/>
                <w:sz w:val="22"/>
                <w:szCs w:val="22"/>
                <w:lang w:val="vi-VN"/>
              </w:rPr>
              <w:t>2</w:t>
            </w:r>
          </w:p>
        </w:tc>
        <w:tc>
          <w:tcPr>
            <w:tcW w:w="4738" w:type="dxa"/>
            <w:tcBorders>
              <w:top w:val="single" w:sz="4" w:space="0" w:color="auto"/>
              <w:left w:val="single" w:sz="4" w:space="0" w:color="auto"/>
              <w:bottom w:val="single" w:sz="4" w:space="0" w:color="auto"/>
              <w:right w:val="single" w:sz="4" w:space="0" w:color="auto"/>
            </w:tcBorders>
          </w:tcPr>
          <w:p w:rsidR="006A4775" w:rsidRPr="006D5FAE" w:rsidRDefault="006A4775" w:rsidP="006674DC">
            <w:pPr>
              <w:widowControl w:val="0"/>
              <w:spacing w:before="120"/>
              <w:jc w:val="both"/>
              <w:rPr>
                <w:lang w:val="vi-VN"/>
              </w:rPr>
            </w:pPr>
            <w:r w:rsidRPr="006D5FAE">
              <w:rPr>
                <w:sz w:val="22"/>
                <w:szCs w:val="22"/>
                <w:lang w:val="vi-VN"/>
              </w:rPr>
              <w:t>Bài tập/Bài tập lớn/Tiểu luận/Dự án/Đồ án</w:t>
            </w:r>
          </w:p>
        </w:tc>
        <w:tc>
          <w:tcPr>
            <w:tcW w:w="2021" w:type="dxa"/>
            <w:tcBorders>
              <w:top w:val="single" w:sz="4" w:space="0" w:color="auto"/>
              <w:left w:val="single" w:sz="4" w:space="0" w:color="auto"/>
              <w:bottom w:val="single" w:sz="4" w:space="0" w:color="auto"/>
              <w:right w:val="single" w:sz="4" w:space="0" w:color="auto"/>
            </w:tcBorders>
          </w:tcPr>
          <w:p w:rsidR="006A4775" w:rsidRPr="006D5FAE" w:rsidRDefault="006A4775" w:rsidP="006674DC">
            <w:pPr>
              <w:widowControl w:val="0"/>
              <w:spacing w:before="120"/>
              <w:ind w:left="34"/>
              <w:jc w:val="center"/>
              <w:rPr>
                <w:lang w:val="vi-VN"/>
              </w:rPr>
            </w:pPr>
            <w:r w:rsidRPr="006D5FAE">
              <w:rPr>
                <w:sz w:val="22"/>
                <w:szCs w:val="22"/>
                <w:lang w:val="vi-VN"/>
              </w:rPr>
              <w:t>4, 5</w:t>
            </w:r>
          </w:p>
        </w:tc>
        <w:tc>
          <w:tcPr>
            <w:tcW w:w="2007" w:type="dxa"/>
            <w:tcBorders>
              <w:top w:val="single" w:sz="4" w:space="0" w:color="auto"/>
              <w:left w:val="single" w:sz="4" w:space="0" w:color="auto"/>
              <w:bottom w:val="single" w:sz="4" w:space="0" w:color="auto"/>
              <w:right w:val="single" w:sz="4" w:space="0" w:color="auto"/>
            </w:tcBorders>
          </w:tcPr>
          <w:p w:rsidR="006A4775" w:rsidRPr="006D5FAE" w:rsidRDefault="006A4775" w:rsidP="006674DC">
            <w:pPr>
              <w:widowControl w:val="0"/>
              <w:spacing w:before="120"/>
              <w:jc w:val="center"/>
              <w:rPr>
                <w:lang w:val="vi-VN"/>
              </w:rPr>
            </w:pPr>
            <w:r w:rsidRPr="006D5FAE">
              <w:rPr>
                <w:sz w:val="22"/>
                <w:szCs w:val="22"/>
                <w:lang w:val="vi-VN"/>
              </w:rPr>
              <w:t>20</w:t>
            </w:r>
          </w:p>
        </w:tc>
      </w:tr>
      <w:tr w:rsidR="006A4775" w:rsidRPr="006D5FAE">
        <w:tc>
          <w:tcPr>
            <w:tcW w:w="746" w:type="dxa"/>
            <w:tcBorders>
              <w:top w:val="single" w:sz="4" w:space="0" w:color="auto"/>
              <w:left w:val="single" w:sz="4" w:space="0" w:color="auto"/>
              <w:bottom w:val="single" w:sz="4" w:space="0" w:color="auto"/>
              <w:right w:val="single" w:sz="4" w:space="0" w:color="auto"/>
            </w:tcBorders>
          </w:tcPr>
          <w:p w:rsidR="006A4775" w:rsidRPr="006D5FAE" w:rsidRDefault="006A4775" w:rsidP="006674DC">
            <w:pPr>
              <w:widowControl w:val="0"/>
              <w:spacing w:before="120"/>
              <w:jc w:val="center"/>
              <w:rPr>
                <w:bCs/>
                <w:lang w:val="vi-VN"/>
              </w:rPr>
            </w:pPr>
            <w:r w:rsidRPr="006D5FAE">
              <w:rPr>
                <w:bCs/>
                <w:sz w:val="22"/>
                <w:szCs w:val="22"/>
                <w:lang w:val="vi-VN"/>
              </w:rPr>
              <w:t>3</w:t>
            </w:r>
          </w:p>
        </w:tc>
        <w:tc>
          <w:tcPr>
            <w:tcW w:w="4738" w:type="dxa"/>
            <w:tcBorders>
              <w:top w:val="single" w:sz="4" w:space="0" w:color="auto"/>
              <w:left w:val="single" w:sz="4" w:space="0" w:color="auto"/>
              <w:bottom w:val="single" w:sz="4" w:space="0" w:color="auto"/>
              <w:right w:val="single" w:sz="4" w:space="0" w:color="auto"/>
            </w:tcBorders>
          </w:tcPr>
          <w:p w:rsidR="006A4775" w:rsidRPr="006D5FAE" w:rsidRDefault="006A4775" w:rsidP="006674DC">
            <w:pPr>
              <w:widowControl w:val="0"/>
              <w:spacing w:before="120"/>
              <w:jc w:val="both"/>
              <w:rPr>
                <w:lang w:val="vi-VN"/>
              </w:rPr>
            </w:pPr>
            <w:r w:rsidRPr="006D5FAE">
              <w:rPr>
                <w:sz w:val="22"/>
                <w:szCs w:val="22"/>
                <w:lang w:val="vi-VN"/>
              </w:rPr>
              <w:t>Thi kết thúc học phần (viết)</w:t>
            </w:r>
          </w:p>
        </w:tc>
        <w:tc>
          <w:tcPr>
            <w:tcW w:w="2021" w:type="dxa"/>
            <w:tcBorders>
              <w:top w:val="single" w:sz="4" w:space="0" w:color="auto"/>
              <w:left w:val="single" w:sz="4" w:space="0" w:color="auto"/>
              <w:bottom w:val="single" w:sz="4" w:space="0" w:color="auto"/>
              <w:right w:val="single" w:sz="4" w:space="0" w:color="auto"/>
            </w:tcBorders>
          </w:tcPr>
          <w:p w:rsidR="006A4775" w:rsidRPr="006D5FAE" w:rsidRDefault="006A4775" w:rsidP="006674DC">
            <w:pPr>
              <w:widowControl w:val="0"/>
              <w:spacing w:before="120"/>
              <w:jc w:val="center"/>
              <w:rPr>
                <w:lang w:val="vi-VN"/>
              </w:rPr>
            </w:pPr>
            <w:r w:rsidRPr="006D5FAE">
              <w:rPr>
                <w:sz w:val="22"/>
                <w:szCs w:val="22"/>
                <w:lang w:val="vi-VN"/>
              </w:rPr>
              <w:t>1, 2, 3, 4, 5</w:t>
            </w:r>
          </w:p>
        </w:tc>
        <w:tc>
          <w:tcPr>
            <w:tcW w:w="2007" w:type="dxa"/>
            <w:tcBorders>
              <w:top w:val="single" w:sz="4" w:space="0" w:color="auto"/>
              <w:left w:val="single" w:sz="4" w:space="0" w:color="auto"/>
              <w:bottom w:val="single" w:sz="4" w:space="0" w:color="auto"/>
              <w:right w:val="single" w:sz="4" w:space="0" w:color="auto"/>
            </w:tcBorders>
          </w:tcPr>
          <w:p w:rsidR="006A4775" w:rsidRPr="006D5FAE" w:rsidRDefault="006A4775" w:rsidP="006674DC">
            <w:pPr>
              <w:widowControl w:val="0"/>
              <w:spacing w:before="120"/>
              <w:jc w:val="center"/>
              <w:rPr>
                <w:lang w:val="vi-VN"/>
              </w:rPr>
            </w:pPr>
            <w:r w:rsidRPr="006D5FAE">
              <w:rPr>
                <w:sz w:val="22"/>
                <w:szCs w:val="22"/>
                <w:lang w:val="vi-VN"/>
              </w:rPr>
              <w:t>70</w:t>
            </w:r>
          </w:p>
        </w:tc>
      </w:tr>
    </w:tbl>
    <w:p w:rsidR="006A4775" w:rsidRDefault="006A4775" w:rsidP="006674DC">
      <w:pPr>
        <w:spacing w:before="120"/>
      </w:pPr>
    </w:p>
    <w:tbl>
      <w:tblPr>
        <w:tblW w:w="9512" w:type="dxa"/>
        <w:tblInd w:w="70" w:type="dxa"/>
        <w:tblLayout w:type="fixed"/>
        <w:tblLook w:val="01E0" w:firstRow="1" w:lastRow="1" w:firstColumn="1" w:lastColumn="1" w:noHBand="0" w:noVBand="0"/>
      </w:tblPr>
      <w:tblGrid>
        <w:gridCol w:w="3098"/>
        <w:gridCol w:w="2386"/>
        <w:gridCol w:w="4028"/>
      </w:tblGrid>
      <w:tr w:rsidR="006A4775" w:rsidRPr="006D5FAE">
        <w:tc>
          <w:tcPr>
            <w:tcW w:w="9512" w:type="dxa"/>
            <w:gridSpan w:val="3"/>
            <w:tcBorders>
              <w:bottom w:val="single" w:sz="4" w:space="0" w:color="auto"/>
            </w:tcBorders>
          </w:tcPr>
          <w:p w:rsidR="006A4775" w:rsidRPr="006D5FAE" w:rsidRDefault="006A4775" w:rsidP="006674DC">
            <w:pPr>
              <w:widowControl w:val="0"/>
              <w:spacing w:before="120"/>
              <w:jc w:val="both"/>
              <w:rPr>
                <w:b/>
                <w:lang w:val="vi-VN"/>
              </w:rPr>
            </w:pPr>
            <w:r w:rsidRPr="006D5FAE">
              <w:rPr>
                <w:b/>
                <w:sz w:val="22"/>
                <w:szCs w:val="22"/>
                <w:lang w:val="vi-VN"/>
              </w:rPr>
              <w:t>Giảng viên biên soạn</w:t>
            </w:r>
          </w:p>
        </w:tc>
      </w:tr>
      <w:tr w:rsidR="006A4775" w:rsidRPr="006D5FAE">
        <w:tc>
          <w:tcPr>
            <w:tcW w:w="3098" w:type="dxa"/>
            <w:tcBorders>
              <w:top w:val="single" w:sz="4" w:space="0" w:color="auto"/>
              <w:left w:val="single" w:sz="4" w:space="0" w:color="auto"/>
              <w:bottom w:val="single" w:sz="4" w:space="0" w:color="auto"/>
              <w:right w:val="single" w:sz="4" w:space="0" w:color="auto"/>
            </w:tcBorders>
          </w:tcPr>
          <w:p w:rsidR="006A4775" w:rsidRPr="006B6515" w:rsidRDefault="006A4775" w:rsidP="006674DC">
            <w:pPr>
              <w:pStyle w:val="BodyText"/>
              <w:widowControl w:val="0"/>
              <w:tabs>
                <w:tab w:val="center" w:pos="1440"/>
                <w:tab w:val="center" w:pos="7560"/>
              </w:tabs>
              <w:spacing w:before="120" w:after="0" w:line="240" w:lineRule="auto"/>
              <w:jc w:val="center"/>
              <w:rPr>
                <w:rFonts w:ascii="Times New Roman" w:hAnsi="Times New Roman"/>
                <w:b/>
                <w:bCs/>
                <w:lang w:val="vi-VN"/>
              </w:rPr>
            </w:pPr>
            <w:r w:rsidRPr="006B6515">
              <w:rPr>
                <w:rFonts w:ascii="Times New Roman" w:hAnsi="Times New Roman"/>
                <w:b/>
                <w:bCs/>
                <w:sz w:val="22"/>
                <w:szCs w:val="22"/>
                <w:lang w:val="vi-VN"/>
              </w:rPr>
              <w:t>Họ và tên</w:t>
            </w:r>
          </w:p>
        </w:tc>
        <w:tc>
          <w:tcPr>
            <w:tcW w:w="2386" w:type="dxa"/>
            <w:tcBorders>
              <w:top w:val="single" w:sz="4" w:space="0" w:color="auto"/>
              <w:left w:val="single" w:sz="4" w:space="0" w:color="auto"/>
              <w:bottom w:val="single" w:sz="4" w:space="0" w:color="auto"/>
              <w:right w:val="single" w:sz="4" w:space="0" w:color="auto"/>
            </w:tcBorders>
          </w:tcPr>
          <w:p w:rsidR="006A4775" w:rsidRPr="006B6515" w:rsidRDefault="006A4775" w:rsidP="006674DC">
            <w:pPr>
              <w:pStyle w:val="BodyText"/>
              <w:widowControl w:val="0"/>
              <w:tabs>
                <w:tab w:val="center" w:pos="1440"/>
                <w:tab w:val="center" w:pos="7560"/>
              </w:tabs>
              <w:spacing w:before="120" w:after="0" w:line="240" w:lineRule="auto"/>
              <w:jc w:val="center"/>
              <w:rPr>
                <w:rFonts w:ascii="Times New Roman" w:hAnsi="Times New Roman"/>
                <w:b/>
                <w:bCs/>
                <w:lang w:val="vi-VN"/>
              </w:rPr>
            </w:pPr>
            <w:r w:rsidRPr="006B6515">
              <w:rPr>
                <w:rFonts w:ascii="Times New Roman" w:hAnsi="Times New Roman"/>
                <w:b/>
                <w:bCs/>
                <w:sz w:val="22"/>
                <w:szCs w:val="22"/>
                <w:lang w:val="vi-VN"/>
              </w:rPr>
              <w:t>Chức danh, học vị</w:t>
            </w:r>
          </w:p>
        </w:tc>
        <w:tc>
          <w:tcPr>
            <w:tcW w:w="4028" w:type="dxa"/>
            <w:tcBorders>
              <w:top w:val="single" w:sz="4" w:space="0" w:color="auto"/>
              <w:left w:val="single" w:sz="4" w:space="0" w:color="auto"/>
              <w:bottom w:val="single" w:sz="4" w:space="0" w:color="auto"/>
              <w:right w:val="single" w:sz="4" w:space="0" w:color="auto"/>
            </w:tcBorders>
          </w:tcPr>
          <w:p w:rsidR="006A4775" w:rsidRPr="006B6515" w:rsidRDefault="006A4775" w:rsidP="006674DC">
            <w:pPr>
              <w:pStyle w:val="BodyText"/>
              <w:widowControl w:val="0"/>
              <w:tabs>
                <w:tab w:val="center" w:pos="1440"/>
                <w:tab w:val="center" w:pos="7560"/>
              </w:tabs>
              <w:spacing w:before="120" w:after="0" w:line="240" w:lineRule="auto"/>
              <w:jc w:val="center"/>
              <w:rPr>
                <w:rFonts w:ascii="Times New Roman" w:hAnsi="Times New Roman"/>
                <w:b/>
                <w:bCs/>
                <w:lang w:val="vi-VN"/>
              </w:rPr>
            </w:pPr>
            <w:r w:rsidRPr="006B6515">
              <w:rPr>
                <w:rFonts w:ascii="Times New Roman" w:hAnsi="Times New Roman"/>
                <w:b/>
                <w:bCs/>
                <w:sz w:val="22"/>
                <w:szCs w:val="22"/>
                <w:lang w:val="vi-VN"/>
              </w:rPr>
              <w:t>Chữ ký</w:t>
            </w:r>
          </w:p>
        </w:tc>
      </w:tr>
      <w:tr w:rsidR="006A4775" w:rsidRPr="006D5FAE">
        <w:tc>
          <w:tcPr>
            <w:tcW w:w="3098" w:type="dxa"/>
            <w:tcBorders>
              <w:top w:val="single" w:sz="4" w:space="0" w:color="auto"/>
              <w:left w:val="single" w:sz="4" w:space="0" w:color="auto"/>
              <w:bottom w:val="single" w:sz="4" w:space="0" w:color="auto"/>
              <w:right w:val="single" w:sz="4" w:space="0" w:color="auto"/>
            </w:tcBorders>
          </w:tcPr>
          <w:p w:rsidR="006A4775" w:rsidRPr="006D5FAE" w:rsidRDefault="006A4775" w:rsidP="006674DC">
            <w:pPr>
              <w:widowControl w:val="0"/>
              <w:spacing w:before="120"/>
              <w:jc w:val="center"/>
              <w:rPr>
                <w:lang w:val="vi-VN"/>
              </w:rPr>
            </w:pPr>
            <w:r w:rsidRPr="006D5FAE">
              <w:rPr>
                <w:sz w:val="22"/>
                <w:szCs w:val="22"/>
                <w:lang w:val="vi-VN"/>
              </w:rPr>
              <w:t>Hồ Huy Tựu</w:t>
            </w:r>
          </w:p>
        </w:tc>
        <w:tc>
          <w:tcPr>
            <w:tcW w:w="2386" w:type="dxa"/>
            <w:tcBorders>
              <w:top w:val="single" w:sz="4" w:space="0" w:color="auto"/>
              <w:left w:val="single" w:sz="4" w:space="0" w:color="auto"/>
              <w:bottom w:val="single" w:sz="4" w:space="0" w:color="auto"/>
              <w:right w:val="single" w:sz="4" w:space="0" w:color="auto"/>
            </w:tcBorders>
          </w:tcPr>
          <w:p w:rsidR="006A4775" w:rsidRDefault="006A4775" w:rsidP="006674DC">
            <w:pPr>
              <w:widowControl w:val="0"/>
              <w:spacing w:before="120"/>
              <w:jc w:val="center"/>
              <w:rPr>
                <w:sz w:val="22"/>
                <w:szCs w:val="22"/>
                <w:lang w:val="en-GB"/>
              </w:rPr>
            </w:pPr>
            <w:r w:rsidRPr="006D5FAE">
              <w:rPr>
                <w:sz w:val="22"/>
                <w:szCs w:val="22"/>
                <w:lang w:val="en-GB"/>
              </w:rPr>
              <w:t>Tiến sĩ</w:t>
            </w:r>
          </w:p>
          <w:p w:rsidR="006674DC" w:rsidRDefault="006674DC" w:rsidP="006674DC">
            <w:pPr>
              <w:widowControl w:val="0"/>
              <w:spacing w:before="120"/>
              <w:jc w:val="center"/>
              <w:rPr>
                <w:sz w:val="22"/>
                <w:szCs w:val="22"/>
                <w:lang w:val="en-GB"/>
              </w:rPr>
            </w:pPr>
          </w:p>
          <w:p w:rsidR="006674DC" w:rsidRDefault="006674DC" w:rsidP="006674DC">
            <w:pPr>
              <w:widowControl w:val="0"/>
              <w:spacing w:before="120"/>
              <w:jc w:val="center"/>
              <w:rPr>
                <w:sz w:val="22"/>
                <w:szCs w:val="22"/>
                <w:lang w:val="en-GB"/>
              </w:rPr>
            </w:pPr>
          </w:p>
          <w:p w:rsidR="006674DC" w:rsidRDefault="006674DC" w:rsidP="006674DC">
            <w:pPr>
              <w:widowControl w:val="0"/>
              <w:spacing w:before="120"/>
              <w:jc w:val="center"/>
              <w:rPr>
                <w:sz w:val="22"/>
                <w:szCs w:val="22"/>
                <w:lang w:val="en-GB"/>
              </w:rPr>
            </w:pPr>
          </w:p>
          <w:p w:rsidR="006674DC" w:rsidRPr="006D5FAE" w:rsidRDefault="006674DC" w:rsidP="006674DC">
            <w:pPr>
              <w:widowControl w:val="0"/>
              <w:spacing w:before="120"/>
              <w:jc w:val="center"/>
              <w:rPr>
                <w:lang w:val="en-GB"/>
              </w:rPr>
            </w:pPr>
            <w:bookmarkStart w:id="0" w:name="_GoBack"/>
            <w:bookmarkEnd w:id="0"/>
          </w:p>
        </w:tc>
        <w:tc>
          <w:tcPr>
            <w:tcW w:w="4028" w:type="dxa"/>
            <w:tcBorders>
              <w:top w:val="single" w:sz="4" w:space="0" w:color="auto"/>
              <w:left w:val="single" w:sz="4" w:space="0" w:color="auto"/>
              <w:bottom w:val="single" w:sz="4" w:space="0" w:color="auto"/>
              <w:right w:val="single" w:sz="4" w:space="0" w:color="auto"/>
            </w:tcBorders>
          </w:tcPr>
          <w:p w:rsidR="006A4775" w:rsidRDefault="006A4775" w:rsidP="006674DC">
            <w:pPr>
              <w:widowControl w:val="0"/>
              <w:spacing w:before="120"/>
              <w:jc w:val="center"/>
            </w:pPr>
          </w:p>
          <w:p w:rsidR="006A4775" w:rsidRPr="000923A3" w:rsidRDefault="006A4775" w:rsidP="006674DC">
            <w:pPr>
              <w:widowControl w:val="0"/>
              <w:spacing w:before="120"/>
              <w:jc w:val="center"/>
            </w:pPr>
          </w:p>
        </w:tc>
      </w:tr>
      <w:tr w:rsidR="006A4775" w:rsidRPr="006D5FAE">
        <w:tc>
          <w:tcPr>
            <w:tcW w:w="9512" w:type="dxa"/>
            <w:gridSpan w:val="3"/>
            <w:tcBorders>
              <w:top w:val="single" w:sz="4" w:space="0" w:color="auto"/>
            </w:tcBorders>
          </w:tcPr>
          <w:p w:rsidR="006A4775" w:rsidRPr="006B6515" w:rsidRDefault="006A4775" w:rsidP="006674DC">
            <w:pPr>
              <w:pStyle w:val="BodyText"/>
              <w:widowControl w:val="0"/>
              <w:tabs>
                <w:tab w:val="center" w:pos="1440"/>
                <w:tab w:val="center" w:pos="7560"/>
              </w:tabs>
              <w:spacing w:before="120" w:after="0" w:line="240" w:lineRule="auto"/>
              <w:jc w:val="left"/>
              <w:rPr>
                <w:rFonts w:ascii="Times New Roman" w:hAnsi="Times New Roman"/>
                <w:b/>
                <w:bCs/>
                <w:lang w:val="vi-VN"/>
              </w:rPr>
            </w:pPr>
            <w:r w:rsidRPr="006B6515">
              <w:rPr>
                <w:rFonts w:ascii="Times New Roman" w:hAnsi="Times New Roman"/>
                <w:b/>
                <w:sz w:val="22"/>
                <w:szCs w:val="22"/>
                <w:lang w:val="vi-VN"/>
              </w:rPr>
              <w:t>Ngày cập nhật cuối cùng: 10/10/2014</w:t>
            </w:r>
          </w:p>
        </w:tc>
      </w:tr>
    </w:tbl>
    <w:p w:rsidR="006A4775" w:rsidRPr="000923A3" w:rsidRDefault="006A4775" w:rsidP="001E7C65">
      <w:pPr>
        <w:rPr>
          <w:szCs w:val="22"/>
          <w:lang w:val="vi-VN"/>
        </w:rPr>
      </w:pPr>
    </w:p>
    <w:sectPr w:rsidR="006A4775" w:rsidRPr="000923A3" w:rsidSect="000C3372">
      <w:footerReference w:type="default" r:id="rId8"/>
      <w:pgSz w:w="11906" w:h="16838" w:code="9"/>
      <w:pgMar w:top="1134" w:right="926" w:bottom="993" w:left="126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788" w:rsidRDefault="00057788" w:rsidP="00270E23">
      <w:r>
        <w:separator/>
      </w:r>
    </w:p>
  </w:endnote>
  <w:endnote w:type="continuationSeparator" w:id="0">
    <w:p w:rsidR="00057788" w:rsidRDefault="00057788" w:rsidP="002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775" w:rsidRDefault="006A4775" w:rsidP="00865B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74DC">
      <w:rPr>
        <w:rStyle w:val="PageNumber"/>
        <w:noProof/>
      </w:rPr>
      <w:t>4</w:t>
    </w:r>
    <w:r>
      <w:rPr>
        <w:rStyle w:val="PageNumber"/>
      </w:rPr>
      <w:fldChar w:fldCharType="end"/>
    </w:r>
  </w:p>
  <w:p w:rsidR="006A4775" w:rsidRDefault="006A4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788" w:rsidRDefault="00057788" w:rsidP="00270E23">
      <w:r>
        <w:separator/>
      </w:r>
    </w:p>
  </w:footnote>
  <w:footnote w:type="continuationSeparator" w:id="0">
    <w:p w:rsidR="00057788" w:rsidRDefault="00057788" w:rsidP="00270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3C6FDC"/>
    <w:lvl w:ilvl="0">
      <w:start w:val="1"/>
      <w:numFmt w:val="bullet"/>
      <w:lvlText w:val=""/>
      <w:lvlJc w:val="left"/>
      <w:pPr>
        <w:tabs>
          <w:tab w:val="num" w:pos="360"/>
        </w:tabs>
        <w:ind w:left="360" w:hanging="360"/>
      </w:pPr>
      <w:rPr>
        <w:rFonts w:ascii="Symbol" w:hAnsi="Symbol" w:hint="default"/>
      </w:rPr>
    </w:lvl>
  </w:abstractNum>
  <w:abstractNum w:abstractNumId="1">
    <w:nsid w:val="00D17CC0"/>
    <w:multiLevelType w:val="hybridMultilevel"/>
    <w:tmpl w:val="5C64061E"/>
    <w:lvl w:ilvl="0" w:tplc="08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1D333A2"/>
    <w:multiLevelType w:val="hybridMultilevel"/>
    <w:tmpl w:val="24FE8248"/>
    <w:lvl w:ilvl="0" w:tplc="08090011">
      <w:start w:val="1"/>
      <w:numFmt w:val="decimal"/>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3">
    <w:nsid w:val="031F76BC"/>
    <w:multiLevelType w:val="hybridMultilevel"/>
    <w:tmpl w:val="D11486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4F30CA3"/>
    <w:multiLevelType w:val="hybridMultilevel"/>
    <w:tmpl w:val="F4EC99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7C61B1"/>
    <w:multiLevelType w:val="hybridMultilevel"/>
    <w:tmpl w:val="81B09B7E"/>
    <w:lvl w:ilvl="0" w:tplc="2230F51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0A7A1CC1"/>
    <w:multiLevelType w:val="multilevel"/>
    <w:tmpl w:val="C2527F0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4FE03BF"/>
    <w:multiLevelType w:val="hybridMultilevel"/>
    <w:tmpl w:val="D7DEDC1C"/>
    <w:lvl w:ilvl="0" w:tplc="95F2EAFA">
      <w:start w:val="2"/>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61A257B"/>
    <w:multiLevelType w:val="hybridMultilevel"/>
    <w:tmpl w:val="3D44A7EC"/>
    <w:lvl w:ilvl="0" w:tplc="E88CE796">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6294CFC"/>
    <w:multiLevelType w:val="hybridMultilevel"/>
    <w:tmpl w:val="6BA88490"/>
    <w:lvl w:ilvl="0" w:tplc="73F2A8E2">
      <w:start w:val="253"/>
      <w:numFmt w:val="bullet"/>
      <w:lvlText w:val="–"/>
      <w:lvlJc w:val="left"/>
      <w:pPr>
        <w:ind w:left="1049" w:hanging="360"/>
      </w:pPr>
      <w:rPr>
        <w:rFonts w:ascii="Arial" w:hAnsi="Arial" w:hint="default"/>
      </w:rPr>
    </w:lvl>
    <w:lvl w:ilvl="1" w:tplc="08090003" w:tentative="1">
      <w:start w:val="1"/>
      <w:numFmt w:val="bullet"/>
      <w:lvlText w:val="o"/>
      <w:lvlJc w:val="left"/>
      <w:pPr>
        <w:ind w:left="1769" w:hanging="360"/>
      </w:pPr>
      <w:rPr>
        <w:rFonts w:ascii="Courier New" w:hAnsi="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10">
    <w:nsid w:val="17BA6FDA"/>
    <w:multiLevelType w:val="hybridMultilevel"/>
    <w:tmpl w:val="5D18CC66"/>
    <w:lvl w:ilvl="0" w:tplc="18CE1484">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1">
    <w:nsid w:val="1CC56D64"/>
    <w:multiLevelType w:val="hybridMultilevel"/>
    <w:tmpl w:val="D180AFB8"/>
    <w:lvl w:ilvl="0" w:tplc="4EF0B72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D7068"/>
    <w:multiLevelType w:val="hybridMultilevel"/>
    <w:tmpl w:val="2766E718"/>
    <w:lvl w:ilvl="0" w:tplc="16565246">
      <w:start w:val="1"/>
      <w:numFmt w:val="bullet"/>
      <w:lvlText w:val=""/>
      <w:lvlJc w:val="left"/>
      <w:pPr>
        <w:tabs>
          <w:tab w:val="num" w:pos="720"/>
        </w:tabs>
        <w:ind w:left="720" w:hanging="360"/>
      </w:pPr>
      <w:rPr>
        <w:rFonts w:ascii="Wingdings 2" w:hAnsi="Wingdings 2" w:hint="default"/>
      </w:rPr>
    </w:lvl>
    <w:lvl w:ilvl="1" w:tplc="B15C9A54" w:tentative="1">
      <w:start w:val="1"/>
      <w:numFmt w:val="bullet"/>
      <w:lvlText w:val=""/>
      <w:lvlJc w:val="left"/>
      <w:pPr>
        <w:tabs>
          <w:tab w:val="num" w:pos="1440"/>
        </w:tabs>
        <w:ind w:left="1440" w:hanging="360"/>
      </w:pPr>
      <w:rPr>
        <w:rFonts w:ascii="Wingdings 2" w:hAnsi="Wingdings 2" w:hint="default"/>
      </w:rPr>
    </w:lvl>
    <w:lvl w:ilvl="2" w:tplc="0A28E7FA" w:tentative="1">
      <w:start w:val="1"/>
      <w:numFmt w:val="bullet"/>
      <w:lvlText w:val=""/>
      <w:lvlJc w:val="left"/>
      <w:pPr>
        <w:tabs>
          <w:tab w:val="num" w:pos="2160"/>
        </w:tabs>
        <w:ind w:left="2160" w:hanging="360"/>
      </w:pPr>
      <w:rPr>
        <w:rFonts w:ascii="Wingdings 2" w:hAnsi="Wingdings 2" w:hint="default"/>
      </w:rPr>
    </w:lvl>
    <w:lvl w:ilvl="3" w:tplc="1A429D0C" w:tentative="1">
      <w:start w:val="1"/>
      <w:numFmt w:val="bullet"/>
      <w:lvlText w:val=""/>
      <w:lvlJc w:val="left"/>
      <w:pPr>
        <w:tabs>
          <w:tab w:val="num" w:pos="2880"/>
        </w:tabs>
        <w:ind w:left="2880" w:hanging="360"/>
      </w:pPr>
      <w:rPr>
        <w:rFonts w:ascii="Wingdings 2" w:hAnsi="Wingdings 2" w:hint="default"/>
      </w:rPr>
    </w:lvl>
    <w:lvl w:ilvl="4" w:tplc="71343174" w:tentative="1">
      <w:start w:val="1"/>
      <w:numFmt w:val="bullet"/>
      <w:lvlText w:val=""/>
      <w:lvlJc w:val="left"/>
      <w:pPr>
        <w:tabs>
          <w:tab w:val="num" w:pos="3600"/>
        </w:tabs>
        <w:ind w:left="3600" w:hanging="360"/>
      </w:pPr>
      <w:rPr>
        <w:rFonts w:ascii="Wingdings 2" w:hAnsi="Wingdings 2" w:hint="default"/>
      </w:rPr>
    </w:lvl>
    <w:lvl w:ilvl="5" w:tplc="A2DAEFC6" w:tentative="1">
      <w:start w:val="1"/>
      <w:numFmt w:val="bullet"/>
      <w:lvlText w:val=""/>
      <w:lvlJc w:val="left"/>
      <w:pPr>
        <w:tabs>
          <w:tab w:val="num" w:pos="4320"/>
        </w:tabs>
        <w:ind w:left="4320" w:hanging="360"/>
      </w:pPr>
      <w:rPr>
        <w:rFonts w:ascii="Wingdings 2" w:hAnsi="Wingdings 2" w:hint="default"/>
      </w:rPr>
    </w:lvl>
    <w:lvl w:ilvl="6" w:tplc="30687B50" w:tentative="1">
      <w:start w:val="1"/>
      <w:numFmt w:val="bullet"/>
      <w:lvlText w:val=""/>
      <w:lvlJc w:val="left"/>
      <w:pPr>
        <w:tabs>
          <w:tab w:val="num" w:pos="5040"/>
        </w:tabs>
        <w:ind w:left="5040" w:hanging="360"/>
      </w:pPr>
      <w:rPr>
        <w:rFonts w:ascii="Wingdings 2" w:hAnsi="Wingdings 2" w:hint="default"/>
      </w:rPr>
    </w:lvl>
    <w:lvl w:ilvl="7" w:tplc="4D041D30" w:tentative="1">
      <w:start w:val="1"/>
      <w:numFmt w:val="bullet"/>
      <w:lvlText w:val=""/>
      <w:lvlJc w:val="left"/>
      <w:pPr>
        <w:tabs>
          <w:tab w:val="num" w:pos="5760"/>
        </w:tabs>
        <w:ind w:left="5760" w:hanging="360"/>
      </w:pPr>
      <w:rPr>
        <w:rFonts w:ascii="Wingdings 2" w:hAnsi="Wingdings 2" w:hint="default"/>
      </w:rPr>
    </w:lvl>
    <w:lvl w:ilvl="8" w:tplc="FBBC1042" w:tentative="1">
      <w:start w:val="1"/>
      <w:numFmt w:val="bullet"/>
      <w:lvlText w:val=""/>
      <w:lvlJc w:val="left"/>
      <w:pPr>
        <w:tabs>
          <w:tab w:val="num" w:pos="6480"/>
        </w:tabs>
        <w:ind w:left="6480" w:hanging="360"/>
      </w:pPr>
      <w:rPr>
        <w:rFonts w:ascii="Wingdings 2" w:hAnsi="Wingdings 2" w:hint="default"/>
      </w:rPr>
    </w:lvl>
  </w:abstractNum>
  <w:abstractNum w:abstractNumId="13">
    <w:nsid w:val="23496F6E"/>
    <w:multiLevelType w:val="hybridMultilevel"/>
    <w:tmpl w:val="190AD2C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4D54091"/>
    <w:multiLevelType w:val="singleLevel"/>
    <w:tmpl w:val="910C2726"/>
    <w:lvl w:ilvl="0">
      <w:start w:val="3"/>
      <w:numFmt w:val="bullet"/>
      <w:lvlText w:val="-"/>
      <w:lvlJc w:val="left"/>
      <w:pPr>
        <w:tabs>
          <w:tab w:val="num" w:pos="1080"/>
        </w:tabs>
        <w:ind w:left="1080" w:hanging="360"/>
      </w:pPr>
      <w:rPr>
        <w:rFonts w:ascii="Times New Roman" w:hAnsi="Times New Roman" w:hint="default"/>
      </w:rPr>
    </w:lvl>
  </w:abstractNum>
  <w:abstractNum w:abstractNumId="15">
    <w:nsid w:val="25944689"/>
    <w:multiLevelType w:val="hybridMultilevel"/>
    <w:tmpl w:val="4E5EDD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6356AF0"/>
    <w:multiLevelType w:val="hybridMultilevel"/>
    <w:tmpl w:val="7F24FB2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70520E3"/>
    <w:multiLevelType w:val="hybridMultilevel"/>
    <w:tmpl w:val="03320A04"/>
    <w:lvl w:ilvl="0" w:tplc="B2ECB5DA">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8">
    <w:nsid w:val="453A1763"/>
    <w:multiLevelType w:val="hybridMultilevel"/>
    <w:tmpl w:val="B52CD05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8483DF5"/>
    <w:multiLevelType w:val="hybridMultilevel"/>
    <w:tmpl w:val="3ADA2E5C"/>
    <w:lvl w:ilvl="0" w:tplc="08090001">
      <w:start w:val="1"/>
      <w:numFmt w:val="bullet"/>
      <w:lvlText w:val=""/>
      <w:lvlJc w:val="left"/>
      <w:pPr>
        <w:tabs>
          <w:tab w:val="num" w:pos="1287"/>
        </w:tabs>
        <w:ind w:left="1287" w:hanging="360"/>
      </w:pPr>
      <w:rPr>
        <w:rFonts w:ascii="Symbol" w:hAnsi="Symbol" w:hint="default"/>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0">
    <w:nsid w:val="48C45DBD"/>
    <w:multiLevelType w:val="hybridMultilevel"/>
    <w:tmpl w:val="413283F2"/>
    <w:lvl w:ilvl="0" w:tplc="E9F4D5DE">
      <w:start w:val="1"/>
      <w:numFmt w:val="decimal"/>
      <w:lvlText w:val="%1."/>
      <w:lvlJc w:val="left"/>
      <w:pPr>
        <w:ind w:left="1065" w:hanging="70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AA32069"/>
    <w:multiLevelType w:val="hybridMultilevel"/>
    <w:tmpl w:val="37F6399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C081C74"/>
    <w:multiLevelType w:val="hybridMultilevel"/>
    <w:tmpl w:val="70EA55D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D1B4F19"/>
    <w:multiLevelType w:val="hybridMultilevel"/>
    <w:tmpl w:val="53E6164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06B50E5"/>
    <w:multiLevelType w:val="hybridMultilevel"/>
    <w:tmpl w:val="4CB07FA0"/>
    <w:lvl w:ilvl="0" w:tplc="D424EB3A">
      <w:start w:val="3"/>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563383"/>
    <w:multiLevelType w:val="hybridMultilevel"/>
    <w:tmpl w:val="D4988452"/>
    <w:lvl w:ilvl="0" w:tplc="08090011">
      <w:start w:val="1"/>
      <w:numFmt w:val="decimal"/>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26">
    <w:nsid w:val="54EF2AAE"/>
    <w:multiLevelType w:val="hybridMultilevel"/>
    <w:tmpl w:val="FF088260"/>
    <w:lvl w:ilvl="0" w:tplc="08090011">
      <w:start w:val="1"/>
      <w:numFmt w:val="decimal"/>
      <w:lvlText w:val="%1)"/>
      <w:lvlJc w:val="left"/>
      <w:pPr>
        <w:ind w:left="1287" w:hanging="360"/>
      </w:pPr>
      <w:rPr>
        <w:rFonts w:cs="Times New Roman"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95F6BD9"/>
    <w:multiLevelType w:val="hybridMultilevel"/>
    <w:tmpl w:val="E32E1C9C"/>
    <w:lvl w:ilvl="0" w:tplc="0809000F">
      <w:start w:val="1"/>
      <w:numFmt w:val="decimal"/>
      <w:lvlText w:val="%1."/>
      <w:lvlJc w:val="left"/>
      <w:pPr>
        <w:ind w:left="288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D181924"/>
    <w:multiLevelType w:val="hybridMultilevel"/>
    <w:tmpl w:val="07A83A4E"/>
    <w:lvl w:ilvl="0" w:tplc="35AEB308">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04338E5"/>
    <w:multiLevelType w:val="hybridMultilevel"/>
    <w:tmpl w:val="CDD2ABB0"/>
    <w:lvl w:ilvl="0" w:tplc="FE04796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2720C1A"/>
    <w:multiLevelType w:val="hybridMultilevel"/>
    <w:tmpl w:val="CD6C21C4"/>
    <w:lvl w:ilvl="0" w:tplc="73F2A8E2">
      <w:start w:val="253"/>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62A10EF4"/>
    <w:multiLevelType w:val="hybridMultilevel"/>
    <w:tmpl w:val="9982BE12"/>
    <w:lvl w:ilvl="0" w:tplc="08090011">
      <w:start w:val="1"/>
      <w:numFmt w:val="decimal"/>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2">
    <w:nsid w:val="672B367A"/>
    <w:multiLevelType w:val="hybridMultilevel"/>
    <w:tmpl w:val="5438430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BDF2957"/>
    <w:multiLevelType w:val="hybridMultilevel"/>
    <w:tmpl w:val="DB12F660"/>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DB03A15"/>
    <w:multiLevelType w:val="hybridMultilevel"/>
    <w:tmpl w:val="FBACB2FE"/>
    <w:lvl w:ilvl="0" w:tplc="08090011">
      <w:start w:val="1"/>
      <w:numFmt w:val="decimal"/>
      <w:lvlText w:val="%1)"/>
      <w:lvlJc w:val="left"/>
      <w:pPr>
        <w:ind w:left="1490" w:hanging="360"/>
      </w:pPr>
      <w:rPr>
        <w:rFonts w:cs="Times New Roman"/>
      </w:rPr>
    </w:lvl>
    <w:lvl w:ilvl="1" w:tplc="08090019">
      <w:start w:val="1"/>
      <w:numFmt w:val="lowerLetter"/>
      <w:lvlText w:val="%2."/>
      <w:lvlJc w:val="left"/>
      <w:pPr>
        <w:ind w:left="2210" w:hanging="360"/>
      </w:pPr>
      <w:rPr>
        <w:rFonts w:cs="Times New Roman"/>
      </w:rPr>
    </w:lvl>
    <w:lvl w:ilvl="2" w:tplc="0809001B" w:tentative="1">
      <w:start w:val="1"/>
      <w:numFmt w:val="lowerRoman"/>
      <w:lvlText w:val="%3."/>
      <w:lvlJc w:val="right"/>
      <w:pPr>
        <w:ind w:left="2930" w:hanging="180"/>
      </w:pPr>
      <w:rPr>
        <w:rFonts w:cs="Times New Roman"/>
      </w:rPr>
    </w:lvl>
    <w:lvl w:ilvl="3" w:tplc="0809000F" w:tentative="1">
      <w:start w:val="1"/>
      <w:numFmt w:val="decimal"/>
      <w:lvlText w:val="%4."/>
      <w:lvlJc w:val="left"/>
      <w:pPr>
        <w:ind w:left="3650" w:hanging="360"/>
      </w:pPr>
      <w:rPr>
        <w:rFonts w:cs="Times New Roman"/>
      </w:rPr>
    </w:lvl>
    <w:lvl w:ilvl="4" w:tplc="08090019" w:tentative="1">
      <w:start w:val="1"/>
      <w:numFmt w:val="lowerLetter"/>
      <w:lvlText w:val="%5."/>
      <w:lvlJc w:val="left"/>
      <w:pPr>
        <w:ind w:left="4370" w:hanging="360"/>
      </w:pPr>
      <w:rPr>
        <w:rFonts w:cs="Times New Roman"/>
      </w:rPr>
    </w:lvl>
    <w:lvl w:ilvl="5" w:tplc="0809001B" w:tentative="1">
      <w:start w:val="1"/>
      <w:numFmt w:val="lowerRoman"/>
      <w:lvlText w:val="%6."/>
      <w:lvlJc w:val="right"/>
      <w:pPr>
        <w:ind w:left="5090" w:hanging="180"/>
      </w:pPr>
      <w:rPr>
        <w:rFonts w:cs="Times New Roman"/>
      </w:rPr>
    </w:lvl>
    <w:lvl w:ilvl="6" w:tplc="0809000F" w:tentative="1">
      <w:start w:val="1"/>
      <w:numFmt w:val="decimal"/>
      <w:lvlText w:val="%7."/>
      <w:lvlJc w:val="left"/>
      <w:pPr>
        <w:ind w:left="5810" w:hanging="360"/>
      </w:pPr>
      <w:rPr>
        <w:rFonts w:cs="Times New Roman"/>
      </w:rPr>
    </w:lvl>
    <w:lvl w:ilvl="7" w:tplc="08090019" w:tentative="1">
      <w:start w:val="1"/>
      <w:numFmt w:val="lowerLetter"/>
      <w:lvlText w:val="%8."/>
      <w:lvlJc w:val="left"/>
      <w:pPr>
        <w:ind w:left="6530" w:hanging="360"/>
      </w:pPr>
      <w:rPr>
        <w:rFonts w:cs="Times New Roman"/>
      </w:rPr>
    </w:lvl>
    <w:lvl w:ilvl="8" w:tplc="0809001B" w:tentative="1">
      <w:start w:val="1"/>
      <w:numFmt w:val="lowerRoman"/>
      <w:lvlText w:val="%9."/>
      <w:lvlJc w:val="right"/>
      <w:pPr>
        <w:ind w:left="7250" w:hanging="180"/>
      </w:pPr>
      <w:rPr>
        <w:rFonts w:cs="Times New Roman"/>
      </w:rPr>
    </w:lvl>
  </w:abstractNum>
  <w:abstractNum w:abstractNumId="35">
    <w:nsid w:val="6F6D75AC"/>
    <w:multiLevelType w:val="hybridMultilevel"/>
    <w:tmpl w:val="D6AAB468"/>
    <w:lvl w:ilvl="0" w:tplc="B596BD6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6">
    <w:nsid w:val="717E43E0"/>
    <w:multiLevelType w:val="hybridMultilevel"/>
    <w:tmpl w:val="65804CA6"/>
    <w:lvl w:ilvl="0" w:tplc="08090011">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7">
    <w:nsid w:val="72FE55C6"/>
    <w:multiLevelType w:val="hybridMultilevel"/>
    <w:tmpl w:val="E14EF448"/>
    <w:lvl w:ilvl="0" w:tplc="8FDC8E72">
      <w:start w:val="1"/>
      <w:numFmt w:val="decimal"/>
      <w:lvlText w:val="%1."/>
      <w:lvlJc w:val="left"/>
      <w:pPr>
        <w:tabs>
          <w:tab w:val="num" w:pos="720"/>
        </w:tabs>
        <w:ind w:left="720" w:hanging="360"/>
      </w:pPr>
      <w:rPr>
        <w:rFonts w:cs="Times New Roman" w:hint="default"/>
        <w:b/>
      </w:rPr>
    </w:lvl>
    <w:lvl w:ilvl="1" w:tplc="844E0F2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7F3A4514">
      <w:start w:val="1"/>
      <w:numFmt w:val="decimal"/>
      <w:lvlText w:val="%4."/>
      <w:lvlJc w:val="left"/>
      <w:pPr>
        <w:tabs>
          <w:tab w:val="num" w:pos="2880"/>
        </w:tabs>
        <w:ind w:left="2880" w:hanging="360"/>
      </w:pPr>
      <w:rPr>
        <w:rFonts w:cs="Times New Roman"/>
        <w:b/>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3060E53"/>
    <w:multiLevelType w:val="hybridMultilevel"/>
    <w:tmpl w:val="7480DD0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736E200C"/>
    <w:multiLevelType w:val="hybridMultilevel"/>
    <w:tmpl w:val="BBAE8BB8"/>
    <w:lvl w:ilvl="0" w:tplc="0A58334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40">
    <w:nsid w:val="74D71A72"/>
    <w:multiLevelType w:val="multilevel"/>
    <w:tmpl w:val="CBB8073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1">
    <w:nsid w:val="7A887384"/>
    <w:multiLevelType w:val="hybridMultilevel"/>
    <w:tmpl w:val="AE9E6A9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DEF08C9"/>
    <w:multiLevelType w:val="hybridMultilevel"/>
    <w:tmpl w:val="73723C7E"/>
    <w:lvl w:ilvl="0" w:tplc="CEEA854A">
      <w:start w:val="2"/>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7EDF77F7"/>
    <w:multiLevelType w:val="hybridMultilevel"/>
    <w:tmpl w:val="CE007CC8"/>
    <w:lvl w:ilvl="0" w:tplc="D424EB3A">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5"/>
  </w:num>
  <w:num w:numId="5">
    <w:abstractNumId w:val="10"/>
  </w:num>
  <w:num w:numId="6">
    <w:abstractNumId w:val="17"/>
  </w:num>
  <w:num w:numId="7">
    <w:abstractNumId w:val="39"/>
  </w:num>
  <w:num w:numId="8">
    <w:abstractNumId w:val="35"/>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37"/>
  </w:num>
  <w:num w:numId="13">
    <w:abstractNumId w:val="33"/>
  </w:num>
  <w:num w:numId="14">
    <w:abstractNumId w:val="14"/>
  </w:num>
  <w:num w:numId="15">
    <w:abstractNumId w:val="7"/>
  </w:num>
  <w:num w:numId="16">
    <w:abstractNumId w:val="27"/>
  </w:num>
  <w:num w:numId="17">
    <w:abstractNumId w:val="42"/>
  </w:num>
  <w:num w:numId="18">
    <w:abstractNumId w:val="29"/>
  </w:num>
  <w:num w:numId="19">
    <w:abstractNumId w:val="20"/>
  </w:num>
  <w:num w:numId="20">
    <w:abstractNumId w:val="15"/>
  </w:num>
  <w:num w:numId="21">
    <w:abstractNumId w:val="30"/>
  </w:num>
  <w:num w:numId="22">
    <w:abstractNumId w:val="9"/>
  </w:num>
  <w:num w:numId="23">
    <w:abstractNumId w:val="43"/>
  </w:num>
  <w:num w:numId="24">
    <w:abstractNumId w:val="24"/>
  </w:num>
  <w:num w:numId="25">
    <w:abstractNumId w:val="11"/>
  </w:num>
  <w:num w:numId="26">
    <w:abstractNumId w:val="26"/>
  </w:num>
  <w:num w:numId="27">
    <w:abstractNumId w:val="13"/>
  </w:num>
  <w:num w:numId="28">
    <w:abstractNumId w:val="21"/>
  </w:num>
  <w:num w:numId="29">
    <w:abstractNumId w:val="41"/>
  </w:num>
  <w:num w:numId="30">
    <w:abstractNumId w:val="8"/>
  </w:num>
  <w:num w:numId="31">
    <w:abstractNumId w:val="36"/>
  </w:num>
  <w:num w:numId="32">
    <w:abstractNumId w:val="38"/>
  </w:num>
  <w:num w:numId="33">
    <w:abstractNumId w:val="31"/>
  </w:num>
  <w:num w:numId="34">
    <w:abstractNumId w:val="23"/>
  </w:num>
  <w:num w:numId="35">
    <w:abstractNumId w:val="2"/>
  </w:num>
  <w:num w:numId="36">
    <w:abstractNumId w:val="28"/>
  </w:num>
  <w:num w:numId="37">
    <w:abstractNumId w:val="16"/>
  </w:num>
  <w:num w:numId="38">
    <w:abstractNumId w:val="22"/>
  </w:num>
  <w:num w:numId="39">
    <w:abstractNumId w:val="1"/>
  </w:num>
  <w:num w:numId="40">
    <w:abstractNumId w:val="32"/>
  </w:num>
  <w:num w:numId="41">
    <w:abstractNumId w:val="4"/>
  </w:num>
  <w:num w:numId="42">
    <w:abstractNumId w:val="6"/>
  </w:num>
  <w:num w:numId="43">
    <w:abstractNumId w:val="34"/>
  </w:num>
  <w:num w:numId="44">
    <w:abstractNumId w:val="25"/>
  </w:num>
  <w:num w:numId="45">
    <w:abstractNumId w:val="18"/>
  </w:num>
  <w:num w:numId="46">
    <w:abstractNumId w:val="1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B31"/>
    <w:rsid w:val="00002CCE"/>
    <w:rsid w:val="000067A9"/>
    <w:rsid w:val="000111C1"/>
    <w:rsid w:val="000160A9"/>
    <w:rsid w:val="000175C1"/>
    <w:rsid w:val="000175FD"/>
    <w:rsid w:val="00017F28"/>
    <w:rsid w:val="0002010C"/>
    <w:rsid w:val="00023389"/>
    <w:rsid w:val="00023692"/>
    <w:rsid w:val="00026195"/>
    <w:rsid w:val="0004145C"/>
    <w:rsid w:val="00041995"/>
    <w:rsid w:val="000434E6"/>
    <w:rsid w:val="00043F62"/>
    <w:rsid w:val="00046591"/>
    <w:rsid w:val="00051019"/>
    <w:rsid w:val="00055058"/>
    <w:rsid w:val="00056EC9"/>
    <w:rsid w:val="00057788"/>
    <w:rsid w:val="00061EB7"/>
    <w:rsid w:val="00062A2F"/>
    <w:rsid w:val="00063686"/>
    <w:rsid w:val="00063F20"/>
    <w:rsid w:val="000658C3"/>
    <w:rsid w:val="00071261"/>
    <w:rsid w:val="00072799"/>
    <w:rsid w:val="00072CA4"/>
    <w:rsid w:val="00072CBC"/>
    <w:rsid w:val="00074BEB"/>
    <w:rsid w:val="00075284"/>
    <w:rsid w:val="0008151F"/>
    <w:rsid w:val="00084851"/>
    <w:rsid w:val="00084C1D"/>
    <w:rsid w:val="00084DF3"/>
    <w:rsid w:val="00087F70"/>
    <w:rsid w:val="000923A3"/>
    <w:rsid w:val="00092FD7"/>
    <w:rsid w:val="000B11FA"/>
    <w:rsid w:val="000B3ADE"/>
    <w:rsid w:val="000B5D91"/>
    <w:rsid w:val="000C107D"/>
    <w:rsid w:val="000C19EF"/>
    <w:rsid w:val="000C2958"/>
    <w:rsid w:val="000C3372"/>
    <w:rsid w:val="000D1736"/>
    <w:rsid w:val="000D3AA8"/>
    <w:rsid w:val="000E4420"/>
    <w:rsid w:val="000E68EE"/>
    <w:rsid w:val="000F12CE"/>
    <w:rsid w:val="000F1C29"/>
    <w:rsid w:val="000F271F"/>
    <w:rsid w:val="000F7181"/>
    <w:rsid w:val="000F75FB"/>
    <w:rsid w:val="00103BC1"/>
    <w:rsid w:val="001046F6"/>
    <w:rsid w:val="001062EC"/>
    <w:rsid w:val="00106541"/>
    <w:rsid w:val="0011199A"/>
    <w:rsid w:val="00111C0D"/>
    <w:rsid w:val="0011250F"/>
    <w:rsid w:val="001155AB"/>
    <w:rsid w:val="0011673D"/>
    <w:rsid w:val="0012002A"/>
    <w:rsid w:val="00120E14"/>
    <w:rsid w:val="00122542"/>
    <w:rsid w:val="001254D6"/>
    <w:rsid w:val="00131D98"/>
    <w:rsid w:val="00133954"/>
    <w:rsid w:val="0013586E"/>
    <w:rsid w:val="001419D5"/>
    <w:rsid w:val="001428DF"/>
    <w:rsid w:val="001435D1"/>
    <w:rsid w:val="001436AD"/>
    <w:rsid w:val="00145338"/>
    <w:rsid w:val="00155DB4"/>
    <w:rsid w:val="00162DDD"/>
    <w:rsid w:val="00167C53"/>
    <w:rsid w:val="00171BE0"/>
    <w:rsid w:val="001727EC"/>
    <w:rsid w:val="00176CEF"/>
    <w:rsid w:val="00181249"/>
    <w:rsid w:val="0018304C"/>
    <w:rsid w:val="001850E8"/>
    <w:rsid w:val="00185A6F"/>
    <w:rsid w:val="00186B3F"/>
    <w:rsid w:val="00186EBC"/>
    <w:rsid w:val="00193A11"/>
    <w:rsid w:val="00195477"/>
    <w:rsid w:val="001A2098"/>
    <w:rsid w:val="001A297F"/>
    <w:rsid w:val="001A2C5D"/>
    <w:rsid w:val="001A57DC"/>
    <w:rsid w:val="001B282C"/>
    <w:rsid w:val="001B2E67"/>
    <w:rsid w:val="001B540A"/>
    <w:rsid w:val="001B6D1B"/>
    <w:rsid w:val="001B70E6"/>
    <w:rsid w:val="001C19AF"/>
    <w:rsid w:val="001C7715"/>
    <w:rsid w:val="001D060F"/>
    <w:rsid w:val="001D0D94"/>
    <w:rsid w:val="001D308F"/>
    <w:rsid w:val="001D5A3C"/>
    <w:rsid w:val="001D6FE0"/>
    <w:rsid w:val="001E0B8C"/>
    <w:rsid w:val="001E16D7"/>
    <w:rsid w:val="001E2F77"/>
    <w:rsid w:val="001E4389"/>
    <w:rsid w:val="001E7C65"/>
    <w:rsid w:val="001F0A90"/>
    <w:rsid w:val="001F0B70"/>
    <w:rsid w:val="001F6478"/>
    <w:rsid w:val="001F758D"/>
    <w:rsid w:val="00203D3C"/>
    <w:rsid w:val="00204971"/>
    <w:rsid w:val="00216C05"/>
    <w:rsid w:val="00220CE6"/>
    <w:rsid w:val="00221B6B"/>
    <w:rsid w:val="002230E6"/>
    <w:rsid w:val="0022343C"/>
    <w:rsid w:val="00227971"/>
    <w:rsid w:val="0023518A"/>
    <w:rsid w:val="00240184"/>
    <w:rsid w:val="00253BC0"/>
    <w:rsid w:val="002630A1"/>
    <w:rsid w:val="00263813"/>
    <w:rsid w:val="00270509"/>
    <w:rsid w:val="00270E23"/>
    <w:rsid w:val="00271950"/>
    <w:rsid w:val="0027220B"/>
    <w:rsid w:val="002746C9"/>
    <w:rsid w:val="00276A5E"/>
    <w:rsid w:val="002773C3"/>
    <w:rsid w:val="00277F31"/>
    <w:rsid w:val="00281E0D"/>
    <w:rsid w:val="0028709D"/>
    <w:rsid w:val="00290959"/>
    <w:rsid w:val="0029200C"/>
    <w:rsid w:val="00292712"/>
    <w:rsid w:val="00295019"/>
    <w:rsid w:val="0029594F"/>
    <w:rsid w:val="00295E44"/>
    <w:rsid w:val="00297334"/>
    <w:rsid w:val="002A74CE"/>
    <w:rsid w:val="002B2438"/>
    <w:rsid w:val="002C0F40"/>
    <w:rsid w:val="002C2277"/>
    <w:rsid w:val="002C4880"/>
    <w:rsid w:val="002C5A24"/>
    <w:rsid w:val="002C7C6E"/>
    <w:rsid w:val="002D2282"/>
    <w:rsid w:val="002D4B31"/>
    <w:rsid w:val="002D4DA9"/>
    <w:rsid w:val="002D66CA"/>
    <w:rsid w:val="002D6B23"/>
    <w:rsid w:val="002E1F98"/>
    <w:rsid w:val="002F0120"/>
    <w:rsid w:val="002F530B"/>
    <w:rsid w:val="002F7F1C"/>
    <w:rsid w:val="00300EBF"/>
    <w:rsid w:val="00302720"/>
    <w:rsid w:val="0030500C"/>
    <w:rsid w:val="00305F51"/>
    <w:rsid w:val="00307058"/>
    <w:rsid w:val="003072A4"/>
    <w:rsid w:val="00310C4F"/>
    <w:rsid w:val="00310DF2"/>
    <w:rsid w:val="003120E6"/>
    <w:rsid w:val="003121BE"/>
    <w:rsid w:val="00314053"/>
    <w:rsid w:val="0031617A"/>
    <w:rsid w:val="003162B6"/>
    <w:rsid w:val="00317228"/>
    <w:rsid w:val="003172B0"/>
    <w:rsid w:val="00321225"/>
    <w:rsid w:val="003214F3"/>
    <w:rsid w:val="00323291"/>
    <w:rsid w:val="00324559"/>
    <w:rsid w:val="00324D80"/>
    <w:rsid w:val="00326656"/>
    <w:rsid w:val="0033285C"/>
    <w:rsid w:val="0033295F"/>
    <w:rsid w:val="00333D46"/>
    <w:rsid w:val="00333FCD"/>
    <w:rsid w:val="00343629"/>
    <w:rsid w:val="00343D95"/>
    <w:rsid w:val="00345CD7"/>
    <w:rsid w:val="003477F1"/>
    <w:rsid w:val="00347AB5"/>
    <w:rsid w:val="00352129"/>
    <w:rsid w:val="003527FB"/>
    <w:rsid w:val="00353C46"/>
    <w:rsid w:val="0036312A"/>
    <w:rsid w:val="00364285"/>
    <w:rsid w:val="00367DEF"/>
    <w:rsid w:val="00372A52"/>
    <w:rsid w:val="003731CF"/>
    <w:rsid w:val="00375780"/>
    <w:rsid w:val="00375795"/>
    <w:rsid w:val="00376910"/>
    <w:rsid w:val="003821DF"/>
    <w:rsid w:val="0038598F"/>
    <w:rsid w:val="00387FCD"/>
    <w:rsid w:val="003910F1"/>
    <w:rsid w:val="00391597"/>
    <w:rsid w:val="0039228E"/>
    <w:rsid w:val="00394205"/>
    <w:rsid w:val="00394889"/>
    <w:rsid w:val="003973B7"/>
    <w:rsid w:val="003A06F8"/>
    <w:rsid w:val="003A0A71"/>
    <w:rsid w:val="003A17FF"/>
    <w:rsid w:val="003A1A08"/>
    <w:rsid w:val="003A3A5F"/>
    <w:rsid w:val="003A4290"/>
    <w:rsid w:val="003A6BFD"/>
    <w:rsid w:val="003A7F0F"/>
    <w:rsid w:val="003B1513"/>
    <w:rsid w:val="003B3A48"/>
    <w:rsid w:val="003B3F4A"/>
    <w:rsid w:val="003C1EFC"/>
    <w:rsid w:val="003C2BEF"/>
    <w:rsid w:val="003C7E6D"/>
    <w:rsid w:val="003D2ED9"/>
    <w:rsid w:val="003D6E83"/>
    <w:rsid w:val="003E01C9"/>
    <w:rsid w:val="003E12AB"/>
    <w:rsid w:val="003E1C44"/>
    <w:rsid w:val="003E38D0"/>
    <w:rsid w:val="003E4CFE"/>
    <w:rsid w:val="003E5D7B"/>
    <w:rsid w:val="003F0AC6"/>
    <w:rsid w:val="003F1F62"/>
    <w:rsid w:val="003F24D3"/>
    <w:rsid w:val="003F5B2D"/>
    <w:rsid w:val="003F795F"/>
    <w:rsid w:val="0040324F"/>
    <w:rsid w:val="004041EC"/>
    <w:rsid w:val="004043F7"/>
    <w:rsid w:val="00407343"/>
    <w:rsid w:val="0041227B"/>
    <w:rsid w:val="00412E61"/>
    <w:rsid w:val="004139D4"/>
    <w:rsid w:val="004228E8"/>
    <w:rsid w:val="00430499"/>
    <w:rsid w:val="004361E7"/>
    <w:rsid w:val="004401ED"/>
    <w:rsid w:val="00441E42"/>
    <w:rsid w:val="00445806"/>
    <w:rsid w:val="0044717B"/>
    <w:rsid w:val="00452031"/>
    <w:rsid w:val="00453D2A"/>
    <w:rsid w:val="00455919"/>
    <w:rsid w:val="004566B3"/>
    <w:rsid w:val="00466CEF"/>
    <w:rsid w:val="0046726F"/>
    <w:rsid w:val="00471F97"/>
    <w:rsid w:val="004739F4"/>
    <w:rsid w:val="00473A28"/>
    <w:rsid w:val="00473DDC"/>
    <w:rsid w:val="004743C2"/>
    <w:rsid w:val="00474468"/>
    <w:rsid w:val="0047755D"/>
    <w:rsid w:val="00477AE8"/>
    <w:rsid w:val="00483164"/>
    <w:rsid w:val="0048324A"/>
    <w:rsid w:val="00483821"/>
    <w:rsid w:val="00483F33"/>
    <w:rsid w:val="004863CD"/>
    <w:rsid w:val="00486789"/>
    <w:rsid w:val="00496A25"/>
    <w:rsid w:val="00496B6B"/>
    <w:rsid w:val="004A307A"/>
    <w:rsid w:val="004A3496"/>
    <w:rsid w:val="004A38D5"/>
    <w:rsid w:val="004A584C"/>
    <w:rsid w:val="004A7D80"/>
    <w:rsid w:val="004B79E8"/>
    <w:rsid w:val="004C282D"/>
    <w:rsid w:val="004C462E"/>
    <w:rsid w:val="004C7E63"/>
    <w:rsid w:val="004D202F"/>
    <w:rsid w:val="004E0218"/>
    <w:rsid w:val="004E3154"/>
    <w:rsid w:val="004F5058"/>
    <w:rsid w:val="005006F2"/>
    <w:rsid w:val="00501126"/>
    <w:rsid w:val="005059CF"/>
    <w:rsid w:val="00507775"/>
    <w:rsid w:val="00512CF1"/>
    <w:rsid w:val="00516A2B"/>
    <w:rsid w:val="00522351"/>
    <w:rsid w:val="00525D67"/>
    <w:rsid w:val="00527241"/>
    <w:rsid w:val="00530078"/>
    <w:rsid w:val="00534ECD"/>
    <w:rsid w:val="005355CA"/>
    <w:rsid w:val="005377A9"/>
    <w:rsid w:val="00537E1B"/>
    <w:rsid w:val="005469CC"/>
    <w:rsid w:val="00554666"/>
    <w:rsid w:val="00556DEF"/>
    <w:rsid w:val="00560844"/>
    <w:rsid w:val="00563E90"/>
    <w:rsid w:val="005648BD"/>
    <w:rsid w:val="0056546E"/>
    <w:rsid w:val="00566B30"/>
    <w:rsid w:val="00566B48"/>
    <w:rsid w:val="00570B59"/>
    <w:rsid w:val="00573B2A"/>
    <w:rsid w:val="005849A9"/>
    <w:rsid w:val="00584A3A"/>
    <w:rsid w:val="005948E2"/>
    <w:rsid w:val="00596C53"/>
    <w:rsid w:val="005A0AFC"/>
    <w:rsid w:val="005A4FE5"/>
    <w:rsid w:val="005A5FE0"/>
    <w:rsid w:val="005B60E9"/>
    <w:rsid w:val="005B6B70"/>
    <w:rsid w:val="005C76CC"/>
    <w:rsid w:val="005D4AF0"/>
    <w:rsid w:val="005E1360"/>
    <w:rsid w:val="005E17FC"/>
    <w:rsid w:val="005E290E"/>
    <w:rsid w:val="005E338F"/>
    <w:rsid w:val="005E44FB"/>
    <w:rsid w:val="005E5135"/>
    <w:rsid w:val="005E5A21"/>
    <w:rsid w:val="005E6A04"/>
    <w:rsid w:val="005F20B9"/>
    <w:rsid w:val="005F2C41"/>
    <w:rsid w:val="005F39C1"/>
    <w:rsid w:val="005F4BCF"/>
    <w:rsid w:val="005F5100"/>
    <w:rsid w:val="00610A9D"/>
    <w:rsid w:val="00616A0A"/>
    <w:rsid w:val="006177AC"/>
    <w:rsid w:val="00622A18"/>
    <w:rsid w:val="00626C66"/>
    <w:rsid w:val="006319E4"/>
    <w:rsid w:val="006341BA"/>
    <w:rsid w:val="00635F86"/>
    <w:rsid w:val="0063624D"/>
    <w:rsid w:val="00640396"/>
    <w:rsid w:val="0064103E"/>
    <w:rsid w:val="006423B9"/>
    <w:rsid w:val="00642EAC"/>
    <w:rsid w:val="006448C3"/>
    <w:rsid w:val="0064502A"/>
    <w:rsid w:val="00650FE7"/>
    <w:rsid w:val="00651790"/>
    <w:rsid w:val="00651C51"/>
    <w:rsid w:val="00655391"/>
    <w:rsid w:val="0065679B"/>
    <w:rsid w:val="00656807"/>
    <w:rsid w:val="00656AF1"/>
    <w:rsid w:val="00656EE1"/>
    <w:rsid w:val="00657CC4"/>
    <w:rsid w:val="006674DC"/>
    <w:rsid w:val="00670CC0"/>
    <w:rsid w:val="006716C4"/>
    <w:rsid w:val="00671FE2"/>
    <w:rsid w:val="00673337"/>
    <w:rsid w:val="00676EA5"/>
    <w:rsid w:val="00680532"/>
    <w:rsid w:val="00682101"/>
    <w:rsid w:val="00682EAE"/>
    <w:rsid w:val="00685897"/>
    <w:rsid w:val="006874E3"/>
    <w:rsid w:val="00687862"/>
    <w:rsid w:val="00687D7E"/>
    <w:rsid w:val="00690EBD"/>
    <w:rsid w:val="00691BB9"/>
    <w:rsid w:val="00691DDD"/>
    <w:rsid w:val="00693834"/>
    <w:rsid w:val="00695061"/>
    <w:rsid w:val="00695CE4"/>
    <w:rsid w:val="006A032B"/>
    <w:rsid w:val="006A048D"/>
    <w:rsid w:val="006A0C7A"/>
    <w:rsid w:val="006A18F6"/>
    <w:rsid w:val="006A349A"/>
    <w:rsid w:val="006A4775"/>
    <w:rsid w:val="006A5C48"/>
    <w:rsid w:val="006A63C9"/>
    <w:rsid w:val="006A7990"/>
    <w:rsid w:val="006A7D0D"/>
    <w:rsid w:val="006B2914"/>
    <w:rsid w:val="006B6515"/>
    <w:rsid w:val="006B72F6"/>
    <w:rsid w:val="006B7E1A"/>
    <w:rsid w:val="006C1328"/>
    <w:rsid w:val="006C7C2F"/>
    <w:rsid w:val="006D387C"/>
    <w:rsid w:val="006D5FAE"/>
    <w:rsid w:val="006E43AD"/>
    <w:rsid w:val="006E7BDF"/>
    <w:rsid w:val="006F5AE4"/>
    <w:rsid w:val="006F626C"/>
    <w:rsid w:val="006F73E8"/>
    <w:rsid w:val="0070013A"/>
    <w:rsid w:val="00711A7B"/>
    <w:rsid w:val="00714BDF"/>
    <w:rsid w:val="00714C3E"/>
    <w:rsid w:val="0071555F"/>
    <w:rsid w:val="00715A56"/>
    <w:rsid w:val="00726B18"/>
    <w:rsid w:val="007301DC"/>
    <w:rsid w:val="00731901"/>
    <w:rsid w:val="007338F9"/>
    <w:rsid w:val="007351EF"/>
    <w:rsid w:val="007475C2"/>
    <w:rsid w:val="00747E5A"/>
    <w:rsid w:val="00753276"/>
    <w:rsid w:val="00755F59"/>
    <w:rsid w:val="00756A4B"/>
    <w:rsid w:val="007626A2"/>
    <w:rsid w:val="00762E69"/>
    <w:rsid w:val="00763396"/>
    <w:rsid w:val="00767882"/>
    <w:rsid w:val="0077123C"/>
    <w:rsid w:val="00772DEC"/>
    <w:rsid w:val="00774775"/>
    <w:rsid w:val="0077704E"/>
    <w:rsid w:val="00781674"/>
    <w:rsid w:val="00781F05"/>
    <w:rsid w:val="00791761"/>
    <w:rsid w:val="0079194D"/>
    <w:rsid w:val="007925B8"/>
    <w:rsid w:val="00794361"/>
    <w:rsid w:val="007954FE"/>
    <w:rsid w:val="00796953"/>
    <w:rsid w:val="007A0AF1"/>
    <w:rsid w:val="007A0EAC"/>
    <w:rsid w:val="007A25DC"/>
    <w:rsid w:val="007A5974"/>
    <w:rsid w:val="007A5CC8"/>
    <w:rsid w:val="007A6C94"/>
    <w:rsid w:val="007B39AF"/>
    <w:rsid w:val="007B3EA0"/>
    <w:rsid w:val="007B3FAB"/>
    <w:rsid w:val="007C02D3"/>
    <w:rsid w:val="007C08E4"/>
    <w:rsid w:val="007C1683"/>
    <w:rsid w:val="007D00CE"/>
    <w:rsid w:val="007D0CBB"/>
    <w:rsid w:val="007D1137"/>
    <w:rsid w:val="007D48DE"/>
    <w:rsid w:val="007D75C4"/>
    <w:rsid w:val="007E3559"/>
    <w:rsid w:val="007E38B2"/>
    <w:rsid w:val="007E7C7D"/>
    <w:rsid w:val="007F09DB"/>
    <w:rsid w:val="007F578B"/>
    <w:rsid w:val="007F5D0B"/>
    <w:rsid w:val="007F7C78"/>
    <w:rsid w:val="008006A4"/>
    <w:rsid w:val="0080355E"/>
    <w:rsid w:val="00803DEF"/>
    <w:rsid w:val="00806856"/>
    <w:rsid w:val="00810A7D"/>
    <w:rsid w:val="008110BE"/>
    <w:rsid w:val="0081567A"/>
    <w:rsid w:val="00820CFB"/>
    <w:rsid w:val="00821543"/>
    <w:rsid w:val="00821CE5"/>
    <w:rsid w:val="00827413"/>
    <w:rsid w:val="00830A93"/>
    <w:rsid w:val="008337E6"/>
    <w:rsid w:val="00834BBA"/>
    <w:rsid w:val="008364D7"/>
    <w:rsid w:val="008367B1"/>
    <w:rsid w:val="008403AB"/>
    <w:rsid w:val="00841712"/>
    <w:rsid w:val="00841B16"/>
    <w:rsid w:val="008453B2"/>
    <w:rsid w:val="00846D49"/>
    <w:rsid w:val="008520E2"/>
    <w:rsid w:val="0085329F"/>
    <w:rsid w:val="008541A2"/>
    <w:rsid w:val="00861FF4"/>
    <w:rsid w:val="00862EA1"/>
    <w:rsid w:val="00865287"/>
    <w:rsid w:val="00865548"/>
    <w:rsid w:val="00865B91"/>
    <w:rsid w:val="008669AB"/>
    <w:rsid w:val="00872BB8"/>
    <w:rsid w:val="0087457B"/>
    <w:rsid w:val="0087514A"/>
    <w:rsid w:val="00875419"/>
    <w:rsid w:val="008767F5"/>
    <w:rsid w:val="00880663"/>
    <w:rsid w:val="00881957"/>
    <w:rsid w:val="0089029A"/>
    <w:rsid w:val="00893119"/>
    <w:rsid w:val="00894E21"/>
    <w:rsid w:val="00895D26"/>
    <w:rsid w:val="008A533A"/>
    <w:rsid w:val="008B14A5"/>
    <w:rsid w:val="008B1D7C"/>
    <w:rsid w:val="008B2826"/>
    <w:rsid w:val="008B3E94"/>
    <w:rsid w:val="008C0045"/>
    <w:rsid w:val="008C0B26"/>
    <w:rsid w:val="008C1A91"/>
    <w:rsid w:val="008C2E0D"/>
    <w:rsid w:val="008C4395"/>
    <w:rsid w:val="008C6D12"/>
    <w:rsid w:val="008C6E16"/>
    <w:rsid w:val="008C767D"/>
    <w:rsid w:val="008D0EF6"/>
    <w:rsid w:val="008D193C"/>
    <w:rsid w:val="008D2CFD"/>
    <w:rsid w:val="008D412D"/>
    <w:rsid w:val="008E3789"/>
    <w:rsid w:val="008E5244"/>
    <w:rsid w:val="008E53B7"/>
    <w:rsid w:val="008E57F8"/>
    <w:rsid w:val="008F0496"/>
    <w:rsid w:val="008F0555"/>
    <w:rsid w:val="008F20D7"/>
    <w:rsid w:val="008F3A47"/>
    <w:rsid w:val="008F616A"/>
    <w:rsid w:val="008F6573"/>
    <w:rsid w:val="008F680B"/>
    <w:rsid w:val="0090010A"/>
    <w:rsid w:val="0090338B"/>
    <w:rsid w:val="00924B6C"/>
    <w:rsid w:val="00925263"/>
    <w:rsid w:val="00925303"/>
    <w:rsid w:val="009256DF"/>
    <w:rsid w:val="00931678"/>
    <w:rsid w:val="00933ED8"/>
    <w:rsid w:val="00934E6D"/>
    <w:rsid w:val="00935A47"/>
    <w:rsid w:val="00937137"/>
    <w:rsid w:val="0094092D"/>
    <w:rsid w:val="00940C7A"/>
    <w:rsid w:val="009525D7"/>
    <w:rsid w:val="0095776C"/>
    <w:rsid w:val="00963C0E"/>
    <w:rsid w:val="00963D9E"/>
    <w:rsid w:val="009669D0"/>
    <w:rsid w:val="00967FF5"/>
    <w:rsid w:val="00971086"/>
    <w:rsid w:val="009713C4"/>
    <w:rsid w:val="00972001"/>
    <w:rsid w:val="009721E8"/>
    <w:rsid w:val="0097252C"/>
    <w:rsid w:val="00972652"/>
    <w:rsid w:val="00973225"/>
    <w:rsid w:val="00973A18"/>
    <w:rsid w:val="00980048"/>
    <w:rsid w:val="00981574"/>
    <w:rsid w:val="00983A1E"/>
    <w:rsid w:val="00986B81"/>
    <w:rsid w:val="00987C1D"/>
    <w:rsid w:val="009907C6"/>
    <w:rsid w:val="00991442"/>
    <w:rsid w:val="00995A4A"/>
    <w:rsid w:val="009A6A3E"/>
    <w:rsid w:val="009B0385"/>
    <w:rsid w:val="009B3BA0"/>
    <w:rsid w:val="009B3EEC"/>
    <w:rsid w:val="009B5028"/>
    <w:rsid w:val="009B5156"/>
    <w:rsid w:val="009C334E"/>
    <w:rsid w:val="009D0ABF"/>
    <w:rsid w:val="009D1182"/>
    <w:rsid w:val="009D289A"/>
    <w:rsid w:val="009D41ED"/>
    <w:rsid w:val="009D56DB"/>
    <w:rsid w:val="009E0B1E"/>
    <w:rsid w:val="009E1BBB"/>
    <w:rsid w:val="009E2209"/>
    <w:rsid w:val="009E34D0"/>
    <w:rsid w:val="009E3EF7"/>
    <w:rsid w:val="009E4347"/>
    <w:rsid w:val="009E713B"/>
    <w:rsid w:val="009F0623"/>
    <w:rsid w:val="009F15E6"/>
    <w:rsid w:val="009F2B1E"/>
    <w:rsid w:val="009F4F06"/>
    <w:rsid w:val="00A04591"/>
    <w:rsid w:val="00A068C7"/>
    <w:rsid w:val="00A06C6D"/>
    <w:rsid w:val="00A101DE"/>
    <w:rsid w:val="00A1358B"/>
    <w:rsid w:val="00A15C3C"/>
    <w:rsid w:val="00A22E18"/>
    <w:rsid w:val="00A255B9"/>
    <w:rsid w:val="00A308FC"/>
    <w:rsid w:val="00A33B12"/>
    <w:rsid w:val="00A35BD4"/>
    <w:rsid w:val="00A36A66"/>
    <w:rsid w:val="00A37986"/>
    <w:rsid w:val="00A43F12"/>
    <w:rsid w:val="00A4442B"/>
    <w:rsid w:val="00A45EAF"/>
    <w:rsid w:val="00A47398"/>
    <w:rsid w:val="00A47B16"/>
    <w:rsid w:val="00A53EF0"/>
    <w:rsid w:val="00A5581D"/>
    <w:rsid w:val="00A6070E"/>
    <w:rsid w:val="00A66BE1"/>
    <w:rsid w:val="00A75D73"/>
    <w:rsid w:val="00A82D96"/>
    <w:rsid w:val="00A83046"/>
    <w:rsid w:val="00A85988"/>
    <w:rsid w:val="00A861F6"/>
    <w:rsid w:val="00A96EDD"/>
    <w:rsid w:val="00AA09C0"/>
    <w:rsid w:val="00AA107A"/>
    <w:rsid w:val="00AA504D"/>
    <w:rsid w:val="00AA612C"/>
    <w:rsid w:val="00AA7B9E"/>
    <w:rsid w:val="00AB177A"/>
    <w:rsid w:val="00AB51BE"/>
    <w:rsid w:val="00AC2247"/>
    <w:rsid w:val="00AC2A04"/>
    <w:rsid w:val="00AC4CF0"/>
    <w:rsid w:val="00AC6078"/>
    <w:rsid w:val="00AC7B73"/>
    <w:rsid w:val="00AD5002"/>
    <w:rsid w:val="00AD5145"/>
    <w:rsid w:val="00AD6BA6"/>
    <w:rsid w:val="00AD7D1B"/>
    <w:rsid w:val="00AE0231"/>
    <w:rsid w:val="00AE25B0"/>
    <w:rsid w:val="00AE2723"/>
    <w:rsid w:val="00AE6E91"/>
    <w:rsid w:val="00AE6F97"/>
    <w:rsid w:val="00AF173E"/>
    <w:rsid w:val="00AF3182"/>
    <w:rsid w:val="00AF5238"/>
    <w:rsid w:val="00B03900"/>
    <w:rsid w:val="00B056B4"/>
    <w:rsid w:val="00B11554"/>
    <w:rsid w:val="00B12845"/>
    <w:rsid w:val="00B14109"/>
    <w:rsid w:val="00B16AD2"/>
    <w:rsid w:val="00B219AD"/>
    <w:rsid w:val="00B26304"/>
    <w:rsid w:val="00B27212"/>
    <w:rsid w:val="00B349DE"/>
    <w:rsid w:val="00B3723D"/>
    <w:rsid w:val="00B468A4"/>
    <w:rsid w:val="00B5278A"/>
    <w:rsid w:val="00B541E1"/>
    <w:rsid w:val="00B541F5"/>
    <w:rsid w:val="00B55ADD"/>
    <w:rsid w:val="00B6351B"/>
    <w:rsid w:val="00B734F0"/>
    <w:rsid w:val="00B75B04"/>
    <w:rsid w:val="00B7688B"/>
    <w:rsid w:val="00B770A0"/>
    <w:rsid w:val="00B81A9D"/>
    <w:rsid w:val="00B822A6"/>
    <w:rsid w:val="00B82706"/>
    <w:rsid w:val="00B82A95"/>
    <w:rsid w:val="00B85533"/>
    <w:rsid w:val="00B8691F"/>
    <w:rsid w:val="00B92054"/>
    <w:rsid w:val="00B924C4"/>
    <w:rsid w:val="00B92A49"/>
    <w:rsid w:val="00B964E6"/>
    <w:rsid w:val="00BA06CE"/>
    <w:rsid w:val="00BA1B06"/>
    <w:rsid w:val="00BA3B2C"/>
    <w:rsid w:val="00BA5763"/>
    <w:rsid w:val="00BB1BED"/>
    <w:rsid w:val="00BB2372"/>
    <w:rsid w:val="00BB3564"/>
    <w:rsid w:val="00BB6BF2"/>
    <w:rsid w:val="00BC35C1"/>
    <w:rsid w:val="00BC4AC5"/>
    <w:rsid w:val="00BC4B84"/>
    <w:rsid w:val="00BC5F93"/>
    <w:rsid w:val="00BC64C3"/>
    <w:rsid w:val="00BD438B"/>
    <w:rsid w:val="00BD6429"/>
    <w:rsid w:val="00BD64ED"/>
    <w:rsid w:val="00BD65C5"/>
    <w:rsid w:val="00BE0F43"/>
    <w:rsid w:val="00BE15AD"/>
    <w:rsid w:val="00BE1C55"/>
    <w:rsid w:val="00BE217B"/>
    <w:rsid w:val="00BE3512"/>
    <w:rsid w:val="00BE39EA"/>
    <w:rsid w:val="00BF0236"/>
    <w:rsid w:val="00BF12ED"/>
    <w:rsid w:val="00BF30FC"/>
    <w:rsid w:val="00BF5DAC"/>
    <w:rsid w:val="00BF5F05"/>
    <w:rsid w:val="00BF6599"/>
    <w:rsid w:val="00BF72A0"/>
    <w:rsid w:val="00C00346"/>
    <w:rsid w:val="00C018D0"/>
    <w:rsid w:val="00C030B2"/>
    <w:rsid w:val="00C049F9"/>
    <w:rsid w:val="00C04DF3"/>
    <w:rsid w:val="00C103F0"/>
    <w:rsid w:val="00C2154F"/>
    <w:rsid w:val="00C22A8A"/>
    <w:rsid w:val="00C2361D"/>
    <w:rsid w:val="00C23641"/>
    <w:rsid w:val="00C238F9"/>
    <w:rsid w:val="00C23D8F"/>
    <w:rsid w:val="00C30433"/>
    <w:rsid w:val="00C340E2"/>
    <w:rsid w:val="00C370E3"/>
    <w:rsid w:val="00C4038D"/>
    <w:rsid w:val="00C4201B"/>
    <w:rsid w:val="00C43CB9"/>
    <w:rsid w:val="00C478EB"/>
    <w:rsid w:val="00C52B7A"/>
    <w:rsid w:val="00C54495"/>
    <w:rsid w:val="00C610A2"/>
    <w:rsid w:val="00C63F80"/>
    <w:rsid w:val="00C653ED"/>
    <w:rsid w:val="00C66AB5"/>
    <w:rsid w:val="00C67F99"/>
    <w:rsid w:val="00C74825"/>
    <w:rsid w:val="00C802BA"/>
    <w:rsid w:val="00C81F1B"/>
    <w:rsid w:val="00C83936"/>
    <w:rsid w:val="00C84B74"/>
    <w:rsid w:val="00C90017"/>
    <w:rsid w:val="00C916CE"/>
    <w:rsid w:val="00C91F3F"/>
    <w:rsid w:val="00C941A4"/>
    <w:rsid w:val="00C96675"/>
    <w:rsid w:val="00C97290"/>
    <w:rsid w:val="00CA2E45"/>
    <w:rsid w:val="00CB3D31"/>
    <w:rsid w:val="00CB4DEB"/>
    <w:rsid w:val="00CB5D3F"/>
    <w:rsid w:val="00CB6149"/>
    <w:rsid w:val="00CB6B29"/>
    <w:rsid w:val="00CB79DB"/>
    <w:rsid w:val="00CC5940"/>
    <w:rsid w:val="00CD2E8A"/>
    <w:rsid w:val="00CD35C2"/>
    <w:rsid w:val="00CD483C"/>
    <w:rsid w:val="00CD4CAF"/>
    <w:rsid w:val="00CD4F8E"/>
    <w:rsid w:val="00CD6871"/>
    <w:rsid w:val="00CE0385"/>
    <w:rsid w:val="00CE0671"/>
    <w:rsid w:val="00CE0870"/>
    <w:rsid w:val="00CE1353"/>
    <w:rsid w:val="00CE296F"/>
    <w:rsid w:val="00CE3D39"/>
    <w:rsid w:val="00CE6153"/>
    <w:rsid w:val="00CF16DE"/>
    <w:rsid w:val="00CF1736"/>
    <w:rsid w:val="00CF4A08"/>
    <w:rsid w:val="00D068C7"/>
    <w:rsid w:val="00D10FB7"/>
    <w:rsid w:val="00D133F9"/>
    <w:rsid w:val="00D141B7"/>
    <w:rsid w:val="00D20344"/>
    <w:rsid w:val="00D23D15"/>
    <w:rsid w:val="00D31F24"/>
    <w:rsid w:val="00D3247C"/>
    <w:rsid w:val="00D3385C"/>
    <w:rsid w:val="00D36D93"/>
    <w:rsid w:val="00D3767B"/>
    <w:rsid w:val="00D50396"/>
    <w:rsid w:val="00D53353"/>
    <w:rsid w:val="00D5604E"/>
    <w:rsid w:val="00D65BF7"/>
    <w:rsid w:val="00D7085B"/>
    <w:rsid w:val="00D70F38"/>
    <w:rsid w:val="00D7537E"/>
    <w:rsid w:val="00D75B31"/>
    <w:rsid w:val="00D80EE5"/>
    <w:rsid w:val="00D82BCA"/>
    <w:rsid w:val="00D85175"/>
    <w:rsid w:val="00D86988"/>
    <w:rsid w:val="00D95209"/>
    <w:rsid w:val="00D959B4"/>
    <w:rsid w:val="00D97CD0"/>
    <w:rsid w:val="00DA2476"/>
    <w:rsid w:val="00DA2DEC"/>
    <w:rsid w:val="00DA60B3"/>
    <w:rsid w:val="00DA6828"/>
    <w:rsid w:val="00DA6A0D"/>
    <w:rsid w:val="00DA6D1D"/>
    <w:rsid w:val="00DA6F90"/>
    <w:rsid w:val="00DB3EB9"/>
    <w:rsid w:val="00DB5524"/>
    <w:rsid w:val="00DB55D5"/>
    <w:rsid w:val="00DB58D3"/>
    <w:rsid w:val="00DB64BE"/>
    <w:rsid w:val="00DB6BA5"/>
    <w:rsid w:val="00DC7340"/>
    <w:rsid w:val="00DE3511"/>
    <w:rsid w:val="00DE3FCE"/>
    <w:rsid w:val="00DE5114"/>
    <w:rsid w:val="00DF2D6A"/>
    <w:rsid w:val="00DF76C3"/>
    <w:rsid w:val="00E0264C"/>
    <w:rsid w:val="00E03EA2"/>
    <w:rsid w:val="00E107D3"/>
    <w:rsid w:val="00E10DD8"/>
    <w:rsid w:val="00E12B5A"/>
    <w:rsid w:val="00E14129"/>
    <w:rsid w:val="00E2373A"/>
    <w:rsid w:val="00E23AC2"/>
    <w:rsid w:val="00E2464A"/>
    <w:rsid w:val="00E25075"/>
    <w:rsid w:val="00E37911"/>
    <w:rsid w:val="00E447FB"/>
    <w:rsid w:val="00E455DD"/>
    <w:rsid w:val="00E50A6D"/>
    <w:rsid w:val="00E5505A"/>
    <w:rsid w:val="00E57AC0"/>
    <w:rsid w:val="00E60072"/>
    <w:rsid w:val="00E62A81"/>
    <w:rsid w:val="00E63E1D"/>
    <w:rsid w:val="00E64F3F"/>
    <w:rsid w:val="00E661F7"/>
    <w:rsid w:val="00E66F46"/>
    <w:rsid w:val="00E70063"/>
    <w:rsid w:val="00E70405"/>
    <w:rsid w:val="00E7254F"/>
    <w:rsid w:val="00E73F44"/>
    <w:rsid w:val="00E74046"/>
    <w:rsid w:val="00E75048"/>
    <w:rsid w:val="00E75092"/>
    <w:rsid w:val="00E7558F"/>
    <w:rsid w:val="00E75952"/>
    <w:rsid w:val="00E80854"/>
    <w:rsid w:val="00E80D9E"/>
    <w:rsid w:val="00E83594"/>
    <w:rsid w:val="00E8384A"/>
    <w:rsid w:val="00E84D35"/>
    <w:rsid w:val="00E8510E"/>
    <w:rsid w:val="00E868F9"/>
    <w:rsid w:val="00E87722"/>
    <w:rsid w:val="00E92DCB"/>
    <w:rsid w:val="00E95181"/>
    <w:rsid w:val="00E959CA"/>
    <w:rsid w:val="00E95D12"/>
    <w:rsid w:val="00E96ECF"/>
    <w:rsid w:val="00EA0961"/>
    <w:rsid w:val="00EA2655"/>
    <w:rsid w:val="00EA2D75"/>
    <w:rsid w:val="00EA3516"/>
    <w:rsid w:val="00EA5347"/>
    <w:rsid w:val="00EA6AEB"/>
    <w:rsid w:val="00EB2549"/>
    <w:rsid w:val="00EB386B"/>
    <w:rsid w:val="00EB3D53"/>
    <w:rsid w:val="00EB4C03"/>
    <w:rsid w:val="00EB6B16"/>
    <w:rsid w:val="00EC04DB"/>
    <w:rsid w:val="00EC15A0"/>
    <w:rsid w:val="00EC19EE"/>
    <w:rsid w:val="00EC31ED"/>
    <w:rsid w:val="00EC46F7"/>
    <w:rsid w:val="00EC796E"/>
    <w:rsid w:val="00ED2893"/>
    <w:rsid w:val="00ED2AF7"/>
    <w:rsid w:val="00ED4D3E"/>
    <w:rsid w:val="00ED4D9D"/>
    <w:rsid w:val="00ED6EA8"/>
    <w:rsid w:val="00ED7ABD"/>
    <w:rsid w:val="00EE2E0B"/>
    <w:rsid w:val="00EE31B5"/>
    <w:rsid w:val="00EE389E"/>
    <w:rsid w:val="00EF1B2B"/>
    <w:rsid w:val="00EF1CC0"/>
    <w:rsid w:val="00EF279B"/>
    <w:rsid w:val="00EF2ECC"/>
    <w:rsid w:val="00EF48AC"/>
    <w:rsid w:val="00EF50F9"/>
    <w:rsid w:val="00EF7D02"/>
    <w:rsid w:val="00F01612"/>
    <w:rsid w:val="00F07CB2"/>
    <w:rsid w:val="00F07E80"/>
    <w:rsid w:val="00F2020F"/>
    <w:rsid w:val="00F211AE"/>
    <w:rsid w:val="00F23FBE"/>
    <w:rsid w:val="00F2410F"/>
    <w:rsid w:val="00F250D9"/>
    <w:rsid w:val="00F259B7"/>
    <w:rsid w:val="00F25FCC"/>
    <w:rsid w:val="00F264CB"/>
    <w:rsid w:val="00F26FAF"/>
    <w:rsid w:val="00F32FFA"/>
    <w:rsid w:val="00F3375B"/>
    <w:rsid w:val="00F379AB"/>
    <w:rsid w:val="00F37C95"/>
    <w:rsid w:val="00F402AE"/>
    <w:rsid w:val="00F42BF6"/>
    <w:rsid w:val="00F4560B"/>
    <w:rsid w:val="00F60239"/>
    <w:rsid w:val="00F62E58"/>
    <w:rsid w:val="00F63D6A"/>
    <w:rsid w:val="00F67F46"/>
    <w:rsid w:val="00F700F9"/>
    <w:rsid w:val="00F7011C"/>
    <w:rsid w:val="00F728D4"/>
    <w:rsid w:val="00F74816"/>
    <w:rsid w:val="00F77602"/>
    <w:rsid w:val="00F80E09"/>
    <w:rsid w:val="00F810E5"/>
    <w:rsid w:val="00F81311"/>
    <w:rsid w:val="00F81788"/>
    <w:rsid w:val="00F84DD0"/>
    <w:rsid w:val="00F86126"/>
    <w:rsid w:val="00F86A2C"/>
    <w:rsid w:val="00F900DC"/>
    <w:rsid w:val="00F92299"/>
    <w:rsid w:val="00F953BE"/>
    <w:rsid w:val="00F9665A"/>
    <w:rsid w:val="00F9697B"/>
    <w:rsid w:val="00F9772E"/>
    <w:rsid w:val="00FA1DAD"/>
    <w:rsid w:val="00FA322A"/>
    <w:rsid w:val="00FA7F75"/>
    <w:rsid w:val="00FB0DE5"/>
    <w:rsid w:val="00FB10AE"/>
    <w:rsid w:val="00FB55D4"/>
    <w:rsid w:val="00FC10AD"/>
    <w:rsid w:val="00FC47A6"/>
    <w:rsid w:val="00FC4917"/>
    <w:rsid w:val="00FD00DA"/>
    <w:rsid w:val="00FD2AE3"/>
    <w:rsid w:val="00FD75AA"/>
    <w:rsid w:val="00FE0A75"/>
    <w:rsid w:val="00FE0E4F"/>
    <w:rsid w:val="00FE1A90"/>
    <w:rsid w:val="00FE5EA5"/>
    <w:rsid w:val="00FE7493"/>
    <w:rsid w:val="00FF1B70"/>
    <w:rsid w:val="00FF1E00"/>
    <w:rsid w:val="00FF30C4"/>
    <w:rsid w:val="00FF391C"/>
    <w:rsid w:val="00FF45D3"/>
    <w:rsid w:val="00FF6ACB"/>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31"/>
    <w:rPr>
      <w:rFonts w:ascii="Times New Roman" w:eastAsia="Times New Roman" w:hAnsi="Times New Roman"/>
      <w:sz w:val="24"/>
      <w:szCs w:val="24"/>
    </w:rPr>
  </w:style>
  <w:style w:type="paragraph" w:styleId="Heading1">
    <w:name w:val="heading 1"/>
    <w:basedOn w:val="Normal"/>
    <w:link w:val="Heading1Char"/>
    <w:uiPriority w:val="99"/>
    <w:qFormat/>
    <w:rsid w:val="00C43CB9"/>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3CB9"/>
    <w:rPr>
      <w:rFonts w:ascii="Times New Roman" w:hAnsi="Times New Roman"/>
      <w:b/>
      <w:kern w:val="36"/>
      <w:sz w:val="48"/>
    </w:rPr>
  </w:style>
  <w:style w:type="paragraph" w:styleId="BodyText">
    <w:name w:val="Body Text"/>
    <w:basedOn w:val="Normal"/>
    <w:link w:val="BodyTextChar"/>
    <w:uiPriority w:val="99"/>
    <w:rsid w:val="00D75B31"/>
    <w:pPr>
      <w:spacing w:before="240" w:after="60" w:line="360" w:lineRule="exact"/>
      <w:jc w:val="both"/>
    </w:pPr>
    <w:rPr>
      <w:rFonts w:ascii=".VnTime" w:eastAsia="Calibri" w:hAnsi=".VnTime"/>
    </w:rPr>
  </w:style>
  <w:style w:type="character" w:customStyle="1" w:styleId="BodyTextChar">
    <w:name w:val="Body Text Char"/>
    <w:link w:val="BodyText"/>
    <w:uiPriority w:val="99"/>
    <w:locked/>
    <w:rsid w:val="00D75B31"/>
    <w:rPr>
      <w:rFonts w:ascii=".VnTime" w:hAnsi=".VnTime"/>
      <w:sz w:val="24"/>
    </w:rPr>
  </w:style>
  <w:style w:type="paragraph" w:styleId="Footer">
    <w:name w:val="footer"/>
    <w:basedOn w:val="Normal"/>
    <w:link w:val="FooterChar"/>
    <w:uiPriority w:val="99"/>
    <w:rsid w:val="00D75B31"/>
    <w:pPr>
      <w:tabs>
        <w:tab w:val="center" w:pos="4320"/>
        <w:tab w:val="right" w:pos="8640"/>
      </w:tabs>
    </w:pPr>
    <w:rPr>
      <w:rFonts w:eastAsia="Calibri"/>
    </w:rPr>
  </w:style>
  <w:style w:type="character" w:customStyle="1" w:styleId="FooterChar">
    <w:name w:val="Footer Char"/>
    <w:link w:val="Footer"/>
    <w:uiPriority w:val="99"/>
    <w:locked/>
    <w:rsid w:val="00D75B31"/>
    <w:rPr>
      <w:rFonts w:ascii="Times New Roman" w:hAnsi="Times New Roman"/>
      <w:sz w:val="24"/>
    </w:rPr>
  </w:style>
  <w:style w:type="character" w:styleId="PageNumber">
    <w:name w:val="page number"/>
    <w:uiPriority w:val="99"/>
    <w:rsid w:val="00D75B31"/>
    <w:rPr>
      <w:rFonts w:cs="Times New Roman"/>
    </w:rPr>
  </w:style>
  <w:style w:type="character" w:customStyle="1" w:styleId="CharChar">
    <w:name w:val="Char Char"/>
    <w:uiPriority w:val="99"/>
    <w:rsid w:val="00D75B31"/>
    <w:rPr>
      <w:sz w:val="24"/>
    </w:rPr>
  </w:style>
  <w:style w:type="character" w:customStyle="1" w:styleId="a-size-large">
    <w:name w:val="a-size-large"/>
    <w:uiPriority w:val="99"/>
    <w:rsid w:val="00C43CB9"/>
  </w:style>
  <w:style w:type="paragraph" w:styleId="ListBullet">
    <w:name w:val="List Bullet"/>
    <w:basedOn w:val="Normal"/>
    <w:link w:val="ListBulletChar1"/>
    <w:uiPriority w:val="99"/>
    <w:rsid w:val="00E95181"/>
    <w:pPr>
      <w:tabs>
        <w:tab w:val="num" w:pos="360"/>
      </w:tabs>
      <w:ind w:left="360" w:hanging="360"/>
    </w:pPr>
  </w:style>
  <w:style w:type="character" w:customStyle="1" w:styleId="ListBulletChar1">
    <w:name w:val="List Bullet Char1"/>
    <w:link w:val="ListBullet"/>
    <w:uiPriority w:val="99"/>
    <w:locked/>
    <w:rsid w:val="00E95181"/>
    <w:rPr>
      <w:rFonts w:ascii="Times New Roman" w:eastAsia="Times New Roman" w:hAnsi="Times New Roman"/>
      <w:sz w:val="24"/>
      <w:szCs w:val="24"/>
    </w:rPr>
  </w:style>
  <w:style w:type="paragraph" w:customStyle="1" w:styleId="CharCharChar">
    <w:name w:val="Char Char Char"/>
    <w:basedOn w:val="Normal"/>
    <w:next w:val="Normal"/>
    <w:autoRedefine/>
    <w:uiPriority w:val="99"/>
    <w:semiHidden/>
    <w:rsid w:val="00407343"/>
    <w:pPr>
      <w:spacing w:before="120" w:after="120" w:line="312" w:lineRule="auto"/>
    </w:pPr>
    <w:rPr>
      <w:sz w:val="28"/>
      <w:szCs w:val="28"/>
    </w:rPr>
  </w:style>
  <w:style w:type="table" w:styleId="TableGrid">
    <w:name w:val="Table Grid"/>
    <w:basedOn w:val="TableNormal"/>
    <w:uiPriority w:val="99"/>
    <w:locked/>
    <w:rsid w:val="004073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uiPriority w:val="99"/>
    <w:rsid w:val="00407343"/>
    <w:pPr>
      <w:spacing w:before="120" w:after="120" w:line="312" w:lineRule="auto"/>
    </w:pPr>
    <w:rPr>
      <w:sz w:val="28"/>
      <w:szCs w:val="28"/>
    </w:rPr>
  </w:style>
  <w:style w:type="paragraph" w:styleId="BodyText2">
    <w:name w:val="Body Text 2"/>
    <w:basedOn w:val="Normal"/>
    <w:link w:val="BodyText2Char"/>
    <w:uiPriority w:val="99"/>
    <w:rsid w:val="00772DEC"/>
    <w:pPr>
      <w:spacing w:after="120" w:line="480" w:lineRule="auto"/>
    </w:pPr>
  </w:style>
  <w:style w:type="character" w:customStyle="1" w:styleId="BodyText2Char">
    <w:name w:val="Body Text 2 Char"/>
    <w:link w:val="BodyText2"/>
    <w:uiPriority w:val="99"/>
    <w:locked/>
    <w:rsid w:val="00772DEC"/>
    <w:rPr>
      <w:rFonts w:ascii="Times New Roman" w:hAnsi="Times New Roman"/>
      <w:sz w:val="24"/>
    </w:rPr>
  </w:style>
  <w:style w:type="character" w:customStyle="1" w:styleId="hps">
    <w:name w:val="hps"/>
    <w:uiPriority w:val="99"/>
    <w:rsid w:val="00772DEC"/>
  </w:style>
  <w:style w:type="character" w:customStyle="1" w:styleId="st">
    <w:name w:val="st"/>
    <w:uiPriority w:val="99"/>
    <w:rsid w:val="00772DEC"/>
    <w:rPr>
      <w:rFonts w:cs="Times New Roman"/>
    </w:rPr>
  </w:style>
  <w:style w:type="character" w:customStyle="1" w:styleId="longtext">
    <w:name w:val="long_text"/>
    <w:uiPriority w:val="99"/>
    <w:rsid w:val="00772DEC"/>
    <w:rPr>
      <w:rFonts w:cs="Times New Roman"/>
    </w:rPr>
  </w:style>
  <w:style w:type="paragraph" w:customStyle="1" w:styleId="Normal13pt">
    <w:name w:val="Normal + 13 pt"/>
    <w:aliases w:val="Centered,Left:  0.25&quot;,13"/>
    <w:basedOn w:val="Normal"/>
    <w:uiPriority w:val="99"/>
    <w:rsid w:val="000F12CE"/>
    <w:pPr>
      <w:spacing w:before="240"/>
      <w:ind w:left="360"/>
      <w:jc w:val="center"/>
    </w:pPr>
    <w:rPr>
      <w:rFonts w:ascii="VNI-Times" w:hAnsi="VNI-Times"/>
      <w:sz w:val="26"/>
      <w:szCs w:val="32"/>
    </w:rPr>
  </w:style>
  <w:style w:type="paragraph" w:customStyle="1" w:styleId="CharCharChar2">
    <w:name w:val="Char Char Char2"/>
    <w:basedOn w:val="Normal"/>
    <w:next w:val="Normal"/>
    <w:autoRedefine/>
    <w:uiPriority w:val="99"/>
    <w:semiHidden/>
    <w:rsid w:val="00DA6F90"/>
    <w:pPr>
      <w:spacing w:before="120" w:after="120" w:line="312" w:lineRule="auto"/>
    </w:pPr>
    <w:rPr>
      <w:sz w:val="28"/>
      <w:szCs w:val="28"/>
    </w:rPr>
  </w:style>
  <w:style w:type="paragraph" w:styleId="ListParagraph">
    <w:name w:val="List Paragraph"/>
    <w:basedOn w:val="Normal"/>
    <w:uiPriority w:val="99"/>
    <w:qFormat/>
    <w:rsid w:val="00263813"/>
    <w:pPr>
      <w:ind w:left="720"/>
      <w:contextualSpacing/>
    </w:pPr>
  </w:style>
  <w:style w:type="paragraph" w:customStyle="1" w:styleId="Char3">
    <w:name w:val="Char3"/>
    <w:basedOn w:val="Normal"/>
    <w:next w:val="Normal"/>
    <w:autoRedefine/>
    <w:uiPriority w:val="99"/>
    <w:semiHidden/>
    <w:rsid w:val="00830A93"/>
    <w:pPr>
      <w:spacing w:before="120" w:after="120" w:line="312" w:lineRule="auto"/>
    </w:pPr>
    <w:rPr>
      <w:sz w:val="28"/>
      <w:szCs w:val="28"/>
    </w:rPr>
  </w:style>
  <w:style w:type="paragraph" w:styleId="Header">
    <w:name w:val="header"/>
    <w:basedOn w:val="Normal"/>
    <w:link w:val="HeaderChar"/>
    <w:uiPriority w:val="99"/>
    <w:rsid w:val="00AC2247"/>
    <w:pPr>
      <w:tabs>
        <w:tab w:val="center" w:pos="4320"/>
        <w:tab w:val="right" w:pos="8640"/>
      </w:tabs>
    </w:pPr>
    <w:rPr>
      <w:lang w:val="vi-VN"/>
    </w:rPr>
  </w:style>
  <w:style w:type="character" w:customStyle="1" w:styleId="HeaderChar">
    <w:name w:val="Header Char"/>
    <w:link w:val="Header"/>
    <w:uiPriority w:val="99"/>
    <w:locked/>
    <w:rsid w:val="00AC2247"/>
    <w:rPr>
      <w:rFonts w:ascii="Times New Roman" w:hAnsi="Times New Roman"/>
      <w:sz w:val="24"/>
      <w:lang w:val="vi-VN"/>
    </w:rPr>
  </w:style>
  <w:style w:type="character" w:customStyle="1" w:styleId="apple-converted-space">
    <w:name w:val="apple-converted-space"/>
    <w:uiPriority w:val="99"/>
    <w:rsid w:val="00AC2247"/>
    <w:rPr>
      <w:rFonts w:cs="Times New Roman"/>
    </w:rPr>
  </w:style>
  <w:style w:type="character" w:styleId="Hyperlink">
    <w:name w:val="Hyperlink"/>
    <w:uiPriority w:val="99"/>
    <w:rsid w:val="00E64F3F"/>
    <w:rPr>
      <w:rFonts w:cs="Times New Roman"/>
      <w:color w:val="0000FF"/>
      <w:u w:val="single"/>
    </w:rPr>
  </w:style>
  <w:style w:type="paragraph" w:customStyle="1" w:styleId="CharCharChar1">
    <w:name w:val="Char Char Char1"/>
    <w:basedOn w:val="Normal"/>
    <w:next w:val="Normal"/>
    <w:autoRedefine/>
    <w:uiPriority w:val="99"/>
    <w:semiHidden/>
    <w:rsid w:val="00EE2E0B"/>
    <w:pPr>
      <w:spacing w:before="120" w:after="120" w:line="312" w:lineRule="auto"/>
    </w:pPr>
    <w:rPr>
      <w:sz w:val="28"/>
      <w:szCs w:val="28"/>
    </w:rPr>
  </w:style>
  <w:style w:type="paragraph" w:customStyle="1" w:styleId="Char2">
    <w:name w:val="Char2"/>
    <w:basedOn w:val="Normal"/>
    <w:next w:val="Normal"/>
    <w:autoRedefine/>
    <w:uiPriority w:val="99"/>
    <w:semiHidden/>
    <w:rsid w:val="008F3A47"/>
    <w:pPr>
      <w:spacing w:before="120" w:after="120" w:line="312" w:lineRule="auto"/>
    </w:pPr>
    <w:rPr>
      <w:sz w:val="28"/>
      <w:szCs w:val="28"/>
    </w:rPr>
  </w:style>
  <w:style w:type="character" w:styleId="CommentReference">
    <w:name w:val="annotation reference"/>
    <w:uiPriority w:val="99"/>
    <w:semiHidden/>
    <w:rsid w:val="008F3A47"/>
    <w:rPr>
      <w:rFonts w:cs="Times New Roman"/>
      <w:sz w:val="16"/>
    </w:rPr>
  </w:style>
  <w:style w:type="paragraph" w:styleId="CommentText">
    <w:name w:val="annotation text"/>
    <w:basedOn w:val="Normal"/>
    <w:link w:val="CommentTextChar"/>
    <w:uiPriority w:val="99"/>
    <w:semiHidden/>
    <w:rsid w:val="008F3A47"/>
    <w:rPr>
      <w:sz w:val="20"/>
      <w:szCs w:val="20"/>
    </w:rPr>
  </w:style>
  <w:style w:type="character" w:customStyle="1" w:styleId="CommentTextChar">
    <w:name w:val="Comment Text Char"/>
    <w:link w:val="CommentText"/>
    <w:uiPriority w:val="99"/>
    <w:semiHidden/>
    <w:locked/>
    <w:rsid w:val="008F3A47"/>
    <w:rPr>
      <w:rFonts w:ascii="Times New Roman" w:hAnsi="Times New Roman"/>
      <w:sz w:val="20"/>
    </w:rPr>
  </w:style>
  <w:style w:type="paragraph" w:styleId="BalloonText">
    <w:name w:val="Balloon Text"/>
    <w:basedOn w:val="Normal"/>
    <w:link w:val="BalloonTextChar"/>
    <w:uiPriority w:val="99"/>
    <w:semiHidden/>
    <w:rsid w:val="008F3A47"/>
    <w:rPr>
      <w:rFonts w:ascii="Segoe UI" w:hAnsi="Segoe UI"/>
      <w:sz w:val="18"/>
      <w:szCs w:val="18"/>
    </w:rPr>
  </w:style>
  <w:style w:type="character" w:customStyle="1" w:styleId="BalloonTextChar">
    <w:name w:val="Balloon Text Char"/>
    <w:link w:val="BalloonText"/>
    <w:uiPriority w:val="99"/>
    <w:semiHidden/>
    <w:locked/>
    <w:rsid w:val="008F3A47"/>
    <w:rPr>
      <w:rFonts w:ascii="Segoe UI" w:hAnsi="Segoe UI"/>
      <w:sz w:val="18"/>
    </w:rPr>
  </w:style>
  <w:style w:type="character" w:styleId="Emphasis">
    <w:name w:val="Emphasis"/>
    <w:uiPriority w:val="99"/>
    <w:qFormat/>
    <w:locked/>
    <w:rsid w:val="00DF2D6A"/>
    <w:rPr>
      <w:rFonts w:cs="Times New Roman"/>
      <w:i/>
    </w:rPr>
  </w:style>
  <w:style w:type="character" w:customStyle="1" w:styleId="fn">
    <w:name w:val="fn"/>
    <w:uiPriority w:val="99"/>
    <w:rsid w:val="00AB51BE"/>
  </w:style>
  <w:style w:type="character" w:customStyle="1" w:styleId="a-declarative">
    <w:name w:val="a-declarative"/>
    <w:uiPriority w:val="99"/>
    <w:rsid w:val="00AB51BE"/>
  </w:style>
  <w:style w:type="paragraph" w:styleId="TOC2">
    <w:name w:val="toc 2"/>
    <w:basedOn w:val="Normal"/>
    <w:next w:val="Normal"/>
    <w:autoRedefine/>
    <w:uiPriority w:val="99"/>
    <w:locked/>
    <w:rsid w:val="00D86988"/>
    <w:pPr>
      <w:ind w:left="240"/>
    </w:pPr>
  </w:style>
  <w:style w:type="paragraph" w:customStyle="1" w:styleId="Char1">
    <w:name w:val="Char1"/>
    <w:basedOn w:val="Normal"/>
    <w:next w:val="Normal"/>
    <w:autoRedefine/>
    <w:uiPriority w:val="99"/>
    <w:semiHidden/>
    <w:rsid w:val="006D5FAE"/>
    <w:pPr>
      <w:spacing w:before="120" w:after="120" w:line="312" w:lineRule="auto"/>
    </w:pPr>
    <w:rPr>
      <w:sz w:val="28"/>
      <w:szCs w:val="28"/>
    </w:rPr>
  </w:style>
  <w:style w:type="character" w:customStyle="1" w:styleId="ListBulletChar">
    <w:name w:val="List Bullet Char"/>
    <w:uiPriority w:val="99"/>
    <w:locked/>
    <w:rsid w:val="002746C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70334">
      <w:marLeft w:val="0"/>
      <w:marRight w:val="0"/>
      <w:marTop w:val="0"/>
      <w:marBottom w:val="0"/>
      <w:divBdr>
        <w:top w:val="none" w:sz="0" w:space="0" w:color="auto"/>
        <w:left w:val="none" w:sz="0" w:space="0" w:color="auto"/>
        <w:bottom w:val="none" w:sz="0" w:space="0" w:color="auto"/>
        <w:right w:val="none" w:sz="0" w:space="0" w:color="auto"/>
      </w:divBdr>
      <w:divsChild>
        <w:div w:id="712970336">
          <w:marLeft w:val="1094"/>
          <w:marRight w:val="0"/>
          <w:marTop w:val="120"/>
          <w:marBottom w:val="0"/>
          <w:divBdr>
            <w:top w:val="none" w:sz="0" w:space="0" w:color="auto"/>
            <w:left w:val="none" w:sz="0" w:space="0" w:color="auto"/>
            <w:bottom w:val="none" w:sz="0" w:space="0" w:color="auto"/>
            <w:right w:val="none" w:sz="0" w:space="0" w:color="auto"/>
          </w:divBdr>
        </w:div>
      </w:divsChild>
    </w:div>
    <w:div w:id="712970335">
      <w:marLeft w:val="0"/>
      <w:marRight w:val="0"/>
      <w:marTop w:val="0"/>
      <w:marBottom w:val="0"/>
      <w:divBdr>
        <w:top w:val="none" w:sz="0" w:space="0" w:color="auto"/>
        <w:left w:val="none" w:sz="0" w:space="0" w:color="auto"/>
        <w:bottom w:val="none" w:sz="0" w:space="0" w:color="auto"/>
        <w:right w:val="none" w:sz="0" w:space="0" w:color="auto"/>
      </w:divBdr>
    </w:div>
    <w:div w:id="712970339">
      <w:marLeft w:val="0"/>
      <w:marRight w:val="0"/>
      <w:marTop w:val="0"/>
      <w:marBottom w:val="0"/>
      <w:divBdr>
        <w:top w:val="none" w:sz="0" w:space="0" w:color="auto"/>
        <w:left w:val="none" w:sz="0" w:space="0" w:color="auto"/>
        <w:bottom w:val="none" w:sz="0" w:space="0" w:color="auto"/>
        <w:right w:val="none" w:sz="0" w:space="0" w:color="auto"/>
      </w:divBdr>
      <w:divsChild>
        <w:div w:id="712970337">
          <w:marLeft w:val="0"/>
          <w:marRight w:val="0"/>
          <w:marTop w:val="0"/>
          <w:marBottom w:val="0"/>
          <w:divBdr>
            <w:top w:val="none" w:sz="0" w:space="0" w:color="auto"/>
            <w:left w:val="none" w:sz="0" w:space="0" w:color="auto"/>
            <w:bottom w:val="none" w:sz="0" w:space="0" w:color="auto"/>
            <w:right w:val="none" w:sz="0" w:space="0" w:color="auto"/>
          </w:divBdr>
        </w:div>
        <w:div w:id="712970338">
          <w:marLeft w:val="0"/>
          <w:marRight w:val="0"/>
          <w:marTop w:val="0"/>
          <w:marBottom w:val="0"/>
          <w:divBdr>
            <w:top w:val="none" w:sz="0" w:space="0" w:color="auto"/>
            <w:left w:val="none" w:sz="0" w:space="0" w:color="auto"/>
            <w:bottom w:val="none" w:sz="0" w:space="0" w:color="auto"/>
            <w:right w:val="none" w:sz="0" w:space="0" w:color="auto"/>
          </w:divBdr>
        </w:div>
        <w:div w:id="712970340">
          <w:marLeft w:val="0"/>
          <w:marRight w:val="0"/>
          <w:marTop w:val="0"/>
          <w:marBottom w:val="0"/>
          <w:divBdr>
            <w:top w:val="none" w:sz="0" w:space="0" w:color="auto"/>
            <w:left w:val="none" w:sz="0" w:space="0" w:color="auto"/>
            <w:bottom w:val="none" w:sz="0" w:space="0" w:color="auto"/>
            <w:right w:val="none" w:sz="0" w:space="0" w:color="auto"/>
          </w:divBdr>
        </w:div>
        <w:div w:id="712970341">
          <w:marLeft w:val="0"/>
          <w:marRight w:val="0"/>
          <w:marTop w:val="0"/>
          <w:marBottom w:val="0"/>
          <w:divBdr>
            <w:top w:val="none" w:sz="0" w:space="0" w:color="auto"/>
            <w:left w:val="none" w:sz="0" w:space="0" w:color="auto"/>
            <w:bottom w:val="none" w:sz="0" w:space="0" w:color="auto"/>
            <w:right w:val="none" w:sz="0" w:space="0" w:color="auto"/>
          </w:divBdr>
        </w:div>
        <w:div w:id="712970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1306</Words>
  <Characters>7447</Characters>
  <Application>Microsoft Office Word</Application>
  <DocSecurity>0</DocSecurity>
  <Lines>62</Lines>
  <Paragraphs>17</Paragraphs>
  <ScaleCrop>false</ScaleCrop>
  <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NTU</dc:creator>
  <cp:keywords/>
  <dc:description/>
  <cp:lastModifiedBy>Admin</cp:lastModifiedBy>
  <cp:revision>5</cp:revision>
  <dcterms:created xsi:type="dcterms:W3CDTF">2015-05-17T03:37:00Z</dcterms:created>
  <dcterms:modified xsi:type="dcterms:W3CDTF">2015-06-06T19:11:00Z</dcterms:modified>
</cp:coreProperties>
</file>